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20/11/2023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7 ciudades de México fueron reconocidas por Bloomberg Philanthropies para Iniciativa de Arte en el Asfalto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iniciativa de Arte en el Asfalto proporciona fondos y apoyo técnico para el rediseño de calles impulsado por las artes urbanas para mejorar la seguridad, revitalizar los espacios públicos e involucrar a las comunidades locales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Bloomberg Philanthropies anunció que 25 ciudades de Canadá, México y Estados Unidos recibirán subvenciones de la Iniciativa de Arte en el Asfalto, de hasta $25 mil dólares más apoyo técnico, cada una, para instalar proyectos que utilicen el arte y el diseño para mejorar la seguridad en las calles, revitalizar los espacios públicos e involucrar a la comunidad. </w:t>
            </w:r>
          </w:p>
          <w:p>
            <w:pPr>
              <w:ind w:left="-284" w:right="-427"/>
              <w:jc w:val="both"/>
              <w:rPr>
                <w:rFonts/>
                <w:color w:val="262626" w:themeColor="text1" w:themeTint="D9"/>
              </w:rPr>
            </w:pPr>
            <w:r>
              <w:t>La Iniciativa de Arte en el Asfalto incluye:</w:t>
            </w:r>
          </w:p>
          <w:p>
            <w:pPr>
              <w:ind w:left="-284" w:right="-427"/>
              <w:jc w:val="both"/>
              <w:rPr>
                <w:rFonts/>
                <w:color w:val="262626" w:themeColor="text1" w:themeTint="D9"/>
              </w:rPr>
            </w:pPr>
            <w:r>
              <w:t>
                Mejorar una intersección desafiante utilizando extensiones del sardinel y otras herramientas			
                <w:p>
                  <w:pPr>
                    <w:ind w:left="-284" w:right="-427"/>
                    <w:jc w:val="both"/>
                    <w:rPr>
                      <w:rFonts/>
                      <w:color w:val="262626" w:themeColor="text1" w:themeTint="D9"/>
                    </w:rPr>
                  </w:pPr>
                  <w:r>
                    <w:t>Colima, Colima</w:t>
                  </w:r>
                </w:p>
                <w:p>
                  <w:pPr>
                    <w:ind w:left="-284" w:right="-427"/>
                    <w:jc w:val="both"/>
                    <w:rPr>
                      <w:rFonts/>
                      <w:color w:val="262626" w:themeColor="text1" w:themeTint="D9"/>
                    </w:rPr>
                  </w:pPr>
                  <w:r>
                    <w:t>Mérida, Yucatán</w:t>
                  </w:r>
                </w:p>
              </w:t>
            </w:r>
          </w:p>
          <w:p>
            <w:pPr>
              <w:ind w:left="-284" w:right="-427"/>
              <w:jc w:val="both"/>
              <w:rPr>
                <w:rFonts/>
                <w:color w:val="262626" w:themeColor="text1" w:themeTint="D9"/>
              </w:rPr>
            </w:pPr>
            <w:r>
              <w:t>
                 Reducir los conflictos entre conductores y peatones a lo largo de una serie de intersecciones			
                <w:p>
                  <w:pPr>
                    <w:ind w:left="-284" w:right="-427"/>
                    <w:jc w:val="both"/>
                    <w:rPr>
                      <w:rFonts/>
                      <w:color w:val="262626" w:themeColor="text1" w:themeTint="D9"/>
                    </w:rPr>
                  </w:pPr>
                  <w:r>
                    <w:t> Puebla, Puebla</w:t>
                  </w:r>
                </w:p>
              </w:t>
            </w:r>
          </w:p>
          <w:p>
            <w:pPr>
              <w:ind w:left="-284" w:right="-427"/>
              <w:jc w:val="both"/>
              <w:rPr>
                <w:rFonts/>
                <w:color w:val="262626" w:themeColor="text1" w:themeTint="D9"/>
              </w:rPr>
            </w:pPr>
            <w:r>
              <w:t>
                Crear o mejorar un espacio peatonal seguro			
                <w:p>
                  <w:pPr>
                    <w:ind w:left="-284" w:right="-427"/>
                    <w:jc w:val="both"/>
                    <w:rPr>
                      <w:rFonts/>
                      <w:color w:val="262626" w:themeColor="text1" w:themeTint="D9"/>
                    </w:rPr>
                  </w:pPr>
                  <w:r>
                    <w:t>Ciudad Juárez, Chihuahua</w:t>
                  </w:r>
                </w:p>
                <w:p>
                  <w:pPr>
                    <w:ind w:left="-284" w:right="-427"/>
                    <w:jc w:val="both"/>
                    <w:rPr>
                      <w:rFonts/>
                      <w:color w:val="262626" w:themeColor="text1" w:themeTint="D9"/>
                    </w:rPr>
                  </w:pPr>
                  <w:r>
                    <w:t>Mazatlán, Sinaloa</w:t>
                  </w:r>
                </w:p>
                <w:p>
                  <w:pPr>
                    <w:ind w:left="-284" w:right="-427"/>
                    <w:jc w:val="both"/>
                    <w:rPr>
                      <w:rFonts/>
                      <w:color w:val="262626" w:themeColor="text1" w:themeTint="D9"/>
                    </w:rPr>
                  </w:pPr>
                  <w:r>
                    <w:t>Ciudad de México</w:t>
                  </w:r>
                </w:p>
                <w:p>
                  <w:pPr>
                    <w:ind w:left="-284" w:right="-427"/>
                    <w:jc w:val="both"/>
                    <w:rPr>
                      <w:rFonts/>
                      <w:color w:val="262626" w:themeColor="text1" w:themeTint="D9"/>
                    </w:rPr>
                  </w:pPr>
                  <w:r>
                    <w:t>Oaxaca, Oaxaca</w:t>
                  </w:r>
                </w:p>
              </w:t>
            </w:r>
          </w:p>
          <w:p>
            <w:pPr>
              <w:ind w:left="-284" w:right="-427"/>
              <w:jc w:val="both"/>
              <w:rPr>
                <w:rFonts/>
                <w:color w:val="262626" w:themeColor="text1" w:themeTint="D9"/>
              </w:rPr>
            </w:pPr>
            <w:r>
              <w:t>"La Iniciativa de Arte en el Asfalto ha demostrado que cuando las ciudades invierten en estos proyectos de bajo costo, las calles se vuelven más seguras y las comunidades se vuelven más fuertes", dijo Michael R. Bloomberg, fundador de Bloomberg Philanthropies y alcalde número 108 de la Ciudad de Nueva York. "Los nuevos proyectos de la Iniciativa de Arte en el Asfalto en Canadá, México y Estados Unidos salvarán más vidas, inspirarán más imaginación y fortalecerán más ciudades en todo el continente".</w:t>
            </w:r>
          </w:p>
          <w:p>
            <w:pPr>
              <w:ind w:left="-284" w:right="-427"/>
              <w:jc w:val="both"/>
              <w:rPr>
                <w:rFonts/>
                <w:color w:val="262626" w:themeColor="text1" w:themeTint="D9"/>
              </w:rPr>
            </w:pPr>
            <w:r>
              <w:t>El Estudio de Seguridad del Arte en el Asfalto, publicado por Bloomberg Philanthropies en colaboración con Sam Schwartz Consulting en 2022, encontró que la seguridad vial ha mejorado de manera demostrable en una serie de 22 proyectos de arte del asfalto en los Estados Unidos. Los resultados del estudio mostraron una disminución del 50% en la tasa de choques que involucran a peatones o ciclistas y un aumento del 27% en la tasa de conductores que ceden el paso a los peatones con derecho de paso. Otros impactos locales incluyen:</w:t>
            </w:r>
          </w:p>
          <w:p>
            <w:pPr>
              <w:ind w:left="-284" w:right="-427"/>
              <w:jc w:val="both"/>
              <w:rPr>
                <w:rFonts/>
                <w:color w:val="262626" w:themeColor="text1" w:themeTint="D9"/>
              </w:rPr>
            </w:pPr>
            <w:r>
              <w:t>Mejorar la seguridad de los peatones: en Cincinnati, Ohio, el porcentaje de conductores que cumplen con las señales de alto se triplicó del 20% al 60% después de que se instalaron una serie de murales en las intersecciones a lo largo de una calle del centro de la ciudad.</w:t>
            </w:r>
          </w:p>
          <w:p>
            <w:pPr>
              <w:ind w:left="-284" w:right="-427"/>
              <w:jc w:val="both"/>
              <w:rPr>
                <w:rFonts/>
                <w:color w:val="262626" w:themeColor="text1" w:themeTint="D9"/>
              </w:rPr>
            </w:pPr>
            <w:r>
              <w:t>Revitalización del espacio público: en Ferizaj, Kosovo, se transformó un paso subterráneo peatonal oscuro y subutilizado que ofrece un paso seguro a través de las concurridas vías del tren con murales atractivos y una mejor iluminación, lo que llevó a un aumento del 23% en el número de personas que utilizan este cruce crítico.</w:t>
            </w:r>
          </w:p>
          <w:p>
            <w:pPr>
              <w:ind w:left="-284" w:right="-427"/>
              <w:jc w:val="both"/>
              <w:rPr>
                <w:rFonts/>
                <w:color w:val="262626" w:themeColor="text1" w:themeTint="D9"/>
              </w:rPr>
            </w:pPr>
            <w:r>
              <w:t>Comunidades más atractivas: en Helsinki, Finlandia, en donde la gran plaza vacía frente a un centro cultural del vecindario se llenó con un juego de mesa artístico interactivo, más de mil miembros de la comunidad asistieron al evento de apertura y el porcentaje de personas que se sienten positivamente sobre el espacio público aumentó del 27% al 78%.</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Roberto Castro</w:t>
      </w:r>
    </w:p>
    <w:p w:rsidR="00C31F72" w:rsidRDefault="00C31F72" w:rsidP="00AB63FE">
      <w:pPr>
        <w:pStyle w:val="Sinespaciado"/>
        <w:spacing w:line="276" w:lineRule="auto"/>
        <w:ind w:left="-284"/>
        <w:rPr>
          <w:rFonts w:ascii="Arial" w:hAnsi="Arial" w:cs="Arial"/>
        </w:rPr>
      </w:pPr>
      <w:r>
        <w:rPr>
          <w:rFonts w:ascii="Arial" w:hAnsi="Arial" w:cs="Arial"/>
        </w:rPr>
        <w:t>Consultor Senior</w:t>
      </w:r>
    </w:p>
    <w:p w:rsidR="00AB63FE" w:rsidRDefault="00C31F72" w:rsidP="00AB63FE">
      <w:pPr>
        <w:pStyle w:val="Sinespaciado"/>
        <w:spacing w:line="276" w:lineRule="auto"/>
        <w:ind w:left="-284"/>
        <w:rPr>
          <w:rFonts w:ascii="Arial" w:hAnsi="Arial" w:cs="Arial"/>
        </w:rPr>
      </w:pPr>
      <w:r>
        <w:rPr>
          <w:rFonts w:ascii="Arial" w:hAnsi="Arial" w:cs="Arial"/>
        </w:rPr>
        <w:t>5527025373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https://www.mexicopress.com.mx/7-ciudades-de-mexico-fueron-reconocidas-por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Artes Visuales Sociedad Colima Puebla Ciudad de México Urbanismo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