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17/07/2024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Accenture realizó por octava ocasión su CFO Forward Study: edición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estudio la compañía encuestó a más de 1400 CFOs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Accenture realizó por octava ocasión su CFO Forward Study: edición 2024. En la actual era de disrupción y volatilidad aceleradas, las empresas están adoptando la reinvención y recurriendo a sus CFOs (directores financieros) para trazar el camino a seguir. Para afrontar el momento, los directores financieros deben estar preparados, lo que significa transformar su función en las finanzas para apoyar la reinvención de las empresas y las ambiciones de crecimiento.</w:t>
            </w:r>
          </w:p>
          <w:p>
            <w:pPr>
              <w:ind w:left="-284" w:right="-427"/>
              <w:jc w:val="both"/>
              <w:rPr>
                <w:rFonts/>
                <w:color w:val="262626" w:themeColor="text1" w:themeTint="D9"/>
              </w:rPr>
            </w:pPr>
            <w:r>
              <w:t> and #39;Reinvención en una era de permacrisis and #39; es el tema de la octava edición de la investigación que realizó Accenture a nivel global, en donde entrevistó a más de 1,400 directores financieros y financieros senior, líderes de organizaciones con ingresos de más de mil millones de dólares en 16 industrias y 14 países. También realizó entrevistas en profundidad a 20 directores financieros con visión de futuro. Sus ideas dan visión sobre cómo los CFOs pueden crear mayor valor empresarial a través de la reinvención.</w:t>
            </w:r>
          </w:p>
          <w:p>
            <w:pPr>
              <w:ind w:left="-284" w:right="-427"/>
              <w:jc w:val="both"/>
              <w:rPr>
                <w:rFonts/>
                <w:color w:val="262626" w:themeColor="text1" w:themeTint="D9"/>
              </w:rPr>
            </w:pPr>
            <w:r>
              <w:t>La investigación reveló, entre otras cosas, que 8 de cada 10 CFOs consideran que la velocidad para transformar sus organizaciones es más rápida o significativamente más rápida que en el pasado; y que, los directores financieros con mayor intención de transformación se concentran en la creación de valor. Asimismo, el 83 % de los encuestados en CFO Forward Study considera que la IA generativa y los modelos básicos serán prioridad en los próximos 24 meses.</w:t>
            </w:r>
          </w:p>
          <w:p>
            <w:pPr>
              <w:ind w:left="-284" w:right="-427"/>
              <w:jc w:val="both"/>
              <w:rPr>
                <w:rFonts/>
                <w:color w:val="262626" w:themeColor="text1" w:themeTint="D9"/>
              </w:rPr>
            </w:pPr>
            <w:r>
              <w:t>La investigación revela que las ambiciones de transformación de los directores financieros no están alineadas con la disrupción a la que se enfrentan. La mayoría (74 %) se centra en el "ahora" y establece como referencia, objetivos de desempeño "de primera clase". Solo el 11 % de los directores financieros tiene un alto nivel de ambición de transformación. Sin embargo, las empresas que elevan sus ambiciones de transformación para que coincidan con el nivel de disrupción están mejor posicionadas para crear valor a partir de su reinvención.</w:t>
            </w:r>
          </w:p>
          <w:p>
            <w:pPr>
              <w:ind w:left="-284" w:right="-427"/>
              <w:jc w:val="both"/>
              <w:rPr>
                <w:rFonts/>
                <w:color w:val="262626" w:themeColor="text1" w:themeTint="D9"/>
              </w:rPr>
            </w:pPr>
            <w:r>
              <w:t>Se puede consultar el estudio completo aquí.</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DIGITO R COMUNICACIÓN</w:t>
      </w:r>
    </w:p>
    <w:p w:rsidR="00AB63FE" w:rsidRDefault="00C31F72" w:rsidP="00AB63FE">
      <w:pPr>
        <w:pStyle w:val="Sinespaciado"/>
        <w:spacing w:line="276" w:lineRule="auto"/>
        <w:ind w:left="-284"/>
        <w:rPr>
          <w:rFonts w:ascii="Arial" w:hAnsi="Arial" w:cs="Arial"/>
        </w:rPr>
      </w:pPr>
      <w:r>
        <w:rPr>
          <w:rFonts w:ascii="Arial" w:hAnsi="Arial" w:cs="Arial"/>
        </w:rPr>
        <w:t>5568034319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https://www.mexicopress.com.mx/accenture-realizo-por-octava-ocasion-su-cfo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Recursos humanos Estado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