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revela un crecimiento del 38% en 2022 y anuncian su llegada a Turquía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Media Tech confirma su consolidación en el mercado Latinoamericano y su expansión a otros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presencia en 14 países y un equipo de casi 200 personas, Adsmovil ha logrado posicionarse en la industria con un crecimiento constante en los últimos años pese a la crisis que debieron afrontar en este período muchas empresas. La compañía reporta ganancias y crecimiento sostenido gracias a su visión a largo plazo y a un modelo de negocio pensado en la rentabilidad y en brindar a los anunciantes y marcas lo que necesitan en materia de tecnología, data y servicio para sus estrategias en publicidad digital. </w:t>
            </w:r>
          </w:p>
          <w:p>
            <w:pPr>
              <w:ind w:left="-284" w:right="-427"/>
              <w:jc w:val="both"/>
              <w:rPr>
                <w:rFonts/>
                <w:color w:val="262626" w:themeColor="text1" w:themeTint="D9"/>
              </w:rPr>
            </w:pPr>
            <w:r>
              <w:t>La incursión de la compañía en Turquía hace parte de la proyección y expansión que se ha propuesto para tener presencia en mercados emergentes como el Medio Oriente, teniendo en cuenta que es uno de los países con mayor población y un crecimiento económico importante. La llegada será de la mano de Adsmovil Personas, plataforma que ofrece a anunciantes y marcas data de audiencias en el mundo offline y online, así como la posibilidad de realizar segmentaciones personalizada que generan una mayor eficiencia y precisión en las campañas digitales. "Para 2023 esperamos crecer un 30% y nuestro foco seguirá siendo el enriquecimiento de la data de audiencias y su disponibilización para los anunciantes y agencias", asegura Alberto Pardo, CEO y Fundador de Adsmovil.</w:t>
            </w:r>
          </w:p>
          <w:p>
            <w:pPr>
              <w:ind w:left="-284" w:right="-427"/>
              <w:jc w:val="both"/>
              <w:rPr>
                <w:rFonts/>
                <w:color w:val="262626" w:themeColor="text1" w:themeTint="D9"/>
              </w:rPr>
            </w:pPr>
            <w:r>
              <w:t>La empresa seguirá trabajando en la consolidación y generación de nuevas estrategias para el canal de Retail Media que cada vez toma más fuerza. De cara al cookieless, está próxima a anunciar una solución diseñada específicamente para afrontar de la mejor manera este cambio que tiene gran impacto en la forma de hacer publicidad digital. Y por supuesto, seguirán fortaleciendo el posicionamiento de su plataforma gratuita de streaming Nuestra.TV, creada especialmente para todos los hispanos en Estados Unidos. </w:t>
            </w:r>
          </w:p>
          <w:p>
            <w:pPr>
              <w:ind w:left="-284" w:right="-427"/>
              <w:jc w:val="both"/>
              <w:rPr>
                <w:rFonts/>
                <w:color w:val="262626" w:themeColor="text1" w:themeTint="D9"/>
              </w:rPr>
            </w:pPr>
            <w:r>
              <w:t>La empresa continúa su compromiso social y con el medio ambiente, es por eso que desde 2021, lleva adelante la iniciativa de convertirse en una compañía Carbono Neutro, con el propósito de reducir las emisiones de Gases del Efecto Invernadero (GEI) y frenar el impacto del cambio climático, contribuyendo en la meta de neutralidad del carbono trazada para 2050 por varios países. Como parte de este compromiso, Adsmovil se ha propuesto, en colaboración con la  Fundación Saving the Amazon, financiar la restauración de un bosque de más de 5.000 árboles en la amazonia colombiana, acción que en el largo plazo permitirá la captura de 5.400 toneladas de CO2.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https://www.mexicopress.com.mx/adsmovil-revela-un-crecimiento-del-38-en-2022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