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el 17/05/2018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AITrading, ecosistema de trading impulsado por IA, anuncia campaña de crowdfunding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AITrading ha anunciado hoy la campaña de crowdfunding para recaudar fondos para su plataforma de trading que combina y facilita las interacciones de los recién llegados al mercado, los traders profesionales, los consultores de trading, los brokers y las principales bolsas de intercambio. El ecosistema AITrading se basa en las tecnologías Blockchain, IA y ML, lo que permite operaciones transparentes en un solo clic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AITrading detecta constantemente ideas de trading al monitorear actividades de trading inusuales, reconociendo patrones y realizando análisis cuantitativos. También considera la preferencia del usuario y su tolerancia al riesgo y, en consecuencia, recomienda el procedimiento más adecuado (apoyándolo mediante instrumentos visuales, como las líneas de tendencia). En cuanto a una idea particular, basándose en un motor de IA, AITrading elabora y recomienda la gama de estrategias de trading que equilibra el nivel de beneficio/riesgo. Un usuario solo necesita elegir una estrategia de una lista de sugerencias, evaluarla mediante pruebas retrospectivas y (si está contento al hacerlo) aceptarla y seguirla. Además, AITrading crea carteras de inversión y también selecciona las carteras más apropiadas y las sugiere a los usuarios. Utiliza fuentes de Big Data no tradicionales como datos de opinión para análisis basados ​​en inteligencia artificial y análisis técnicos y fundamentales tradicionales. Además, AITrading ofrece el acceso a la funcionalidad del motor de IA (AI-as-a-Service, AIaaS) a terceros (B2B).</w:t>
            </w:r>
          </w:p>
          <w:p>
            <w:pPr>
              <w:ind w:left="-284" w:right="-427"/>
              <w:jc w:val="both"/>
              <w:rPr>
                <w:rFonts/>
                <w:color w:val="262626" w:themeColor="text1" w:themeTint="D9"/>
              </w:rPr>
            </w:pPr>
            <w:r>
              <w:t>"Nuestra tecnología es sin precedentes transparente y democrática. Trabaja 24/7 descubriendo ideas de trading y formulando estrategias de trading que están disponibles para toda la comunidad de trading, no solo para grandes fondos y bancos. De este modo AITrading establece un nuevo enfoque para el mercado de trading y mejora el modelo de trading de las instituciones financieras, lo que permite una escalabilidad rápida y sin problemas en todos los mercados financieros", dice Alexey Shirobokov, CEO de AITrading.</w:t>
            </w:r>
          </w:p>
          <w:p>
            <w:pPr>
              <w:ind w:left="-284" w:right="-427"/>
              <w:jc w:val="both"/>
              <w:rPr>
                <w:rFonts/>
                <w:color w:val="262626" w:themeColor="text1" w:themeTint="D9"/>
              </w:rPr>
            </w:pPr>
            <w:r>
              <w:t>El equipo ya ha anunciado los detalles de las etapas del crowdfunding. AITrading está recaudando fondos basados en la preventa de futuros accesos al servicio de información de la plataforma. Como confirmación del prepago, AITrading emitirá los tokens AITT (estándar ERC-20). La preventa comenzará el 10 de junio de 2018 y durará hasta el 5 de julio de 2018. La etapa principal tendrá lugar del 6 de julio de 2018 al 18 de agosto de 2018. Un tokken de AITT corresponde a un prepago de 0,88€. El prepago mínimo aceptable es de 88€. La compañía prevé recaudar hasta 60 millones de euros, con un 34,5% de la suma acumulada que se invertirá en el desarrollo de un producto, un 26,5% para apoyar la infraestructura, seguridad e integración y un 27% para invertir en marketing y relaciones públicas.</w:t>
            </w:r>
          </w:p>
          <w:p>
            <w:pPr>
              <w:ind w:left="-284" w:right="-427"/>
              <w:jc w:val="both"/>
              <w:rPr>
                <w:rFonts/>
                <w:color w:val="262626" w:themeColor="text1" w:themeTint="D9"/>
              </w:rPr>
            </w:pPr>
            <w:r>
              <w:t>Contacto PRStankevicius MGMpr@stankeviciusmgm.com+358409665893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Stankevicius MGM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+358409665893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https://www.mexicopress.com.mx/aitrading-ecosistema-de-trading-impulsado-por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E-Commerce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