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Stuttgart y Renningen, Alemania  el 18/04/2024</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Bosch apuesta por las innovaciones, las alianzas y las adquisiciones; reducir costes sigue siendo central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Avance en el ejercicio 2023: Las ventas ascendieron a 91,600  millones de euros y el margen EBIT de las operaciones aumentó un 5,3% respecto al año anterior. Las perspectivas para 2024 siguen siendo moderadas: se espera un crecimiento de las ventas de entre el 5% y el 7%. Stefan Hartung: "Estamos buscando innovaciones, asociaciones y adquisiciones. A pesar de las adversidades, esto nos permitirá crecer y aprovechar al máximo las oportunidades a medida que nuestras industrias se transforman"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Grupo Bosch aumentó sus ventas y ganancias en 2023, demostrando una sólida implementación de su estrategia de crecimiento a pesar de los desafíos. Stefan Hartung, presidente del consejo de administración de Robert Bosch GmbH, resaltó que la empresa alcanzó sus objetivos financieros y fortaleció su posición en el mercado en diversas áreas comerciales, desde semiconductores hasta sistemas integrados para edificios. Además, busca impulsar su crecimiento mediante innovaciones, asociaciones y adquisiciones en medio de la transformación de las industrias. A largo plazo, busca un crecimiento anual del 6% al 8% con un margen del 7%, además de posicionarse entre los tres principales proveedores en sus mercados clave.</w:t>
            </w:r>
          </w:p>
          <w:p>
            <w:pPr>
              <w:ind w:left="-284" w:right="-427"/>
              <w:jc w:val="both"/>
              <w:rPr>
                <w:rFonts/>
                <w:color w:val="262626" w:themeColor="text1" w:themeTint="D9"/>
              </w:rPr>
            </w:pPr>
            <w:r>
              <w:t>Bosch está ampliando su innovación en tecnología médica con el desarrollo de la Tecnología BioMEMS, que permite pruebas genéticas precisas al fusionar el diagnóstico molecular y la tecnología de microsistemas, lo que facilita pruebas precisas de hasta 250 rasgos genéticos en un solo chip. Para ello, busca asociaciones con líderes del sector para pruebas automatizadas, con una inversión de 300 millones de euros para 2030.</w:t>
            </w:r>
          </w:p>
          <w:p>
            <w:pPr>
              <w:ind w:left="-284" w:right="-427"/>
              <w:jc w:val="both"/>
              <w:rPr>
                <w:rFonts/>
                <w:color w:val="262626" w:themeColor="text1" w:themeTint="D9"/>
              </w:rPr>
            </w:pPr>
            <w:r>
              <w:t>En 2023, registró ventas por 91,600 millones de euros, un aumento del 3.8%, con un EBIT de 4,800 millones de euros. Aunque aún no se ha alcanzado el margen objetivo del 7%, se espera lograrlo para 2026. A pesar de proyecciones moderadas para 2024, Bosch sigue comprometido con su crecimiento y expansión global, incluyendo nuevas fábricas en Egipto y México.</w:t>
            </w:r>
          </w:p>
          <w:p>
            <w:pPr>
              <w:ind w:left="-284" w:right="-427"/>
              <w:jc w:val="both"/>
              <w:rPr>
                <w:rFonts/>
                <w:color w:val="262626" w:themeColor="text1" w:themeTint="D9"/>
              </w:rPr>
            </w:pPr>
            <w:r>
              <w:t>En cuanto al negocio de movilidad, apuesta por la electromovilidad y prevé una fuerte demanda de vehículos eléctricos a nivel mundial. Este año, lanzará 30 proyectos de producción de vehículos eléctricos, proyectando que la electromovilidad será clave en el mercado automotriz para 2030. Además, invierte en tecnologías de hidrógeno y bombas de calor como parte de su estrategia de crecimiento sostenible.</w:t>
            </w:r>
          </w:p>
          <w:p>
            <w:pPr>
              <w:ind w:left="-284" w:right="-427"/>
              <w:jc w:val="both"/>
              <w:rPr>
                <w:rFonts/>
                <w:color w:val="262626" w:themeColor="text1" w:themeTint="D9"/>
              </w:rPr>
            </w:pPr>
            <w:r>
              <w:t>Para 2030, prevé ventas de tecnología de hidrógeno por 5,000 millones de euros, siendo los motores de hidrógeno la opción más rápida hacia vehículos comerciales climáticamente neutros. En cuanto a calefacción, ve oportunidades en sistemas híbridos que combinan bombas de calor con calderas de gas, facilitando la descarbonización de edificios. </w:t>
            </w:r>
          </w:p>
          <w:p>
            <w:pPr>
              <w:ind w:left="-284" w:right="-427"/>
              <w:jc w:val="both"/>
              <w:rPr>
                <w:rFonts/>
                <w:color w:val="262626" w:themeColor="text1" w:themeTint="D9"/>
              </w:rPr>
            </w:pPr>
            <w:r>
              <w:t>El flujo de efectivo mejoró a 2,200 millones de euros, a pesar de desafíos como la pandemia y la escasez de chips, y se invirtieron en I+D 7,300 millones de euros (8% de las ventas).</w:t>
            </w:r>
          </w:p>
          <w:p>
            <w:pPr>
              <w:ind w:left="-284" w:right="-427"/>
              <w:jc w:val="both"/>
              <w:rPr>
                <w:rFonts/>
                <w:color w:val="262626" w:themeColor="text1" w:themeTint="D9"/>
              </w:rPr>
            </w:pPr>
            <w:r>
              <w:t>En 2023, el sector de Movilidad registró un crecimiento del 6.9% en ventas, alcanzando los 56,200 millones de euros. En Tecnología Industrial, ascendieron a 7,400 millones de euros; en Bienes de Consumo, las ventas fueron de 19,900 millones de euros; y en Energía y Tecnología para las Edificaciones, las ventas alcanzaron los 7,700 millones de euros.</w:t>
            </w:r>
          </w:p>
          <w:p>
            <w:pPr>
              <w:ind w:left="-284" w:right="-427"/>
              <w:jc w:val="both"/>
              <w:rPr>
                <w:rFonts/>
                <w:color w:val="262626" w:themeColor="text1" w:themeTint="D9"/>
              </w:rPr>
            </w:pPr>
            <w:r>
              <w:t>A nivel regional, experimentó un crecimiento en todas las áreas, destacando un aumento del 5.5% en Europa y del 6.2% en Norteamérica. También, aumentó su plantilla 2%, alcanzando un total de 429,416 empleados a nivel mundial, 8,078 más que el año anterior.</w:t>
            </w:r>
          </w:p>
          <w:p>
            <w:pPr>
              <w:ind w:left="-284" w:right="-427"/>
              <w:jc w:val="both"/>
              <w:rPr>
                <w:rFonts/>
                <w:color w:val="262626" w:themeColor="text1" w:themeTint="D9"/>
              </w:rPr>
            </w:pPr>
            <w:r>
              <w:t>A pesar de los desafíos, Bosch mantiene su compromiso con la acción climática y la inversión sostenida en tecnologías para un futuro neutro en carbono.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Alejandra Valdés</w:t>
      </w:r>
    </w:p>
    <w:p w:rsidR="00C31F72" w:rsidRDefault="00C31F72" w:rsidP="00AB63FE">
      <w:pPr>
        <w:pStyle w:val="Sinespaciado"/>
        <w:spacing w:line="276" w:lineRule="auto"/>
        <w:ind w:left="-284"/>
        <w:rPr>
          <w:rFonts w:ascii="Arial" w:hAnsi="Arial" w:cs="Arial"/>
        </w:rPr>
      </w:pPr>
      <w:r>
        <w:rPr>
          <w:rFonts w:ascii="Arial" w:hAnsi="Arial" w:cs="Arial"/>
        </w:rPr>
        <w:t>Coordinadora de Comunicación Externa</w:t>
      </w:r>
    </w:p>
    <w:p w:rsidR="00AB63FE" w:rsidRDefault="00C31F72" w:rsidP="00AB63FE">
      <w:pPr>
        <w:pStyle w:val="Sinespaciado"/>
        <w:spacing w:line="276" w:lineRule="auto"/>
        <w:ind w:left="-284"/>
        <w:rPr>
          <w:rFonts w:ascii="Arial" w:hAnsi="Arial" w:cs="Arial"/>
        </w:rPr>
      </w:pPr>
      <w:r>
        <w:rPr>
          <w:rFonts w:ascii="Arial" w:hAnsi="Arial" w:cs="Arial"/>
        </w:rPr>
        <w:t>55 4055 9947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https://www.mexicopress.com.mx/bosch-apuesta-por-las-innovaciones-las</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Nacional Finanzas Software Innovación Tecnológica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