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Cloudbeds lanza su primer informe sobre el estado del alojamiento independiente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usa datos de miles de alojamientos en todo el mundo para informar sobre el estado actual de recuperación de viajes, el comportamiento de las reservas después de la pandemia y las tendencias de viajes que influyen en el comportamiento de los consumidores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Cloudbeds, la plataforma de gestión hotelera que impulsa más reservas y huéspedes más felices para negocios de alojamiento en todo el mundo, anunció el lanzamiento de su informe sobre el estado del alojamiento independiente.Al aprovechar el cúmulo de datos agregados y anonimizados de todo el mundo, Cloudbeds ha identificado las tendencias que están cambiando los viajes.Estas tendencias incluyen la toma de decisiones orientada al valor, la preferencia por recepciones virtuales, el encuentro entre viajes combinados y hotelería híbrida, las nuevas tecnologías que están revolucionando la búsqueda de viajes, y el cambio de comodidades por experiencias.El informe destaca la siguiente información:</w:t>
            </w:r>
          </w:p>
          <w:p>
            <w:pPr>
              <w:ind w:left="-284" w:right="-427"/>
              <w:jc w:val="both"/>
              <w:rPr>
                <w:rFonts/>
                <w:color w:val="262626" w:themeColor="text1" w:themeTint="D9"/>
              </w:rPr>
            </w:pPr>
            <w:r>
              <w:t>Tarifa media diaria (ADR) y ocupación</w:t>
            </w:r>
          </w:p>
          <w:p>
            <w:pPr>
              <w:ind w:left="-284" w:right="-427"/>
              <w:jc w:val="both"/>
              <w:rPr>
                <w:rFonts/>
                <w:color w:val="262626" w:themeColor="text1" w:themeTint="D9"/>
              </w:rPr>
            </w:pPr>
            <w:r>
              <w:t>Los precios aumentaron entre 2019 y 2020, y siguieron subiendo en 2021 y 2022. En 2022, superaron la ADR de 2019 en un 17%.</w:t>
            </w:r>
          </w:p>
          <w:p>
            <w:pPr>
              <w:ind w:left="-284" w:right="-427"/>
              <w:jc w:val="both"/>
              <w:rPr>
                <w:rFonts/>
                <w:color w:val="262626" w:themeColor="text1" w:themeTint="D9"/>
              </w:rPr>
            </w:pPr>
            <w:r>
              <w:t>Las tasas de ocupación aumentaron hasta más del 50% en 2022.</w:t>
            </w:r>
          </w:p>
          <w:p>
            <w:pPr>
              <w:ind w:left="-284" w:right="-427"/>
              <w:jc w:val="both"/>
              <w:rPr>
                <w:rFonts/>
                <w:color w:val="262626" w:themeColor="text1" w:themeTint="D9"/>
              </w:rPr>
            </w:pPr>
            <w:r>
              <w:t>Fuentes de reservas</w:t>
            </w:r>
          </w:p>
          <w:p>
            <w:pPr>
              <w:ind w:left="-284" w:right="-427"/>
              <w:jc w:val="both"/>
              <w:rPr>
                <w:rFonts/>
                <w:color w:val="262626" w:themeColor="text1" w:themeTint="D9"/>
              </w:rPr>
            </w:pPr>
            <w:r>
              <w:t>En 2019, las reservas en OTA fueron el 57% del total, mientras que las reservas sin OTA fueron el restante 43%. Durante la pandemia, las reservas directas aumentaron debido al recorte en la publicidad de las OTA.</w:t>
            </w:r>
          </w:p>
          <w:p>
            <w:pPr>
              <w:ind w:left="-284" w:right="-427"/>
              <w:jc w:val="both"/>
              <w:rPr>
                <w:rFonts/>
                <w:color w:val="262626" w:themeColor="text1" w:themeTint="D9"/>
              </w:rPr>
            </w:pPr>
            <w:r>
              <w:t>En 2022, la demanda de viajes favoreció a las OTA, volviendo a los niveles de 2019.</w:t>
            </w:r>
          </w:p>
          <w:p>
            <w:pPr>
              <w:ind w:left="-284" w:right="-427"/>
              <w:jc w:val="both"/>
              <w:rPr>
                <w:rFonts/>
                <w:color w:val="262626" w:themeColor="text1" w:themeTint="D9"/>
              </w:rPr>
            </w:pPr>
            <w:r>
              <w:t>Ventana de reserva</w:t>
            </w:r>
          </w:p>
          <w:p>
            <w:pPr>
              <w:ind w:left="-284" w:right="-427"/>
              <w:jc w:val="both"/>
              <w:rPr>
                <w:rFonts/>
                <w:color w:val="262626" w:themeColor="text1" w:themeTint="D9"/>
              </w:rPr>
            </w:pPr>
            <w:r>
              <w:t>En 2019, la ventana de reserva global tenía una duración media de 34 días. Durante la pandemia se redujo debido a la tendencia a reservar en el último minuto.</w:t>
            </w:r>
          </w:p>
          <w:p>
            <w:pPr>
              <w:ind w:left="-284" w:right="-427"/>
              <w:jc w:val="both"/>
              <w:rPr>
                <w:rFonts/>
                <w:color w:val="262626" w:themeColor="text1" w:themeTint="D9"/>
              </w:rPr>
            </w:pPr>
            <w:r>
              <w:t>En 2022, la demanda acumulada de viajes elevó la ventana de reserva. En América del Norte, superó los niveles de 2019 en 5 días, en Europa en 2 días. En la región de Asia Pacífico, las restricciones mantuvieron la ventana de reserva 5 días menor al promedio en 2019.</w:t>
            </w:r>
          </w:p>
          <w:p>
            <w:pPr>
              <w:ind w:left="-284" w:right="-427"/>
              <w:jc w:val="both"/>
              <w:rPr>
                <w:rFonts/>
                <w:color w:val="262626" w:themeColor="text1" w:themeTint="D9"/>
              </w:rPr>
            </w:pPr>
            <w:r>
              <w:t>Duración de la estancia</w:t>
            </w:r>
          </w:p>
          <w:p>
            <w:pPr>
              <w:ind w:left="-284" w:right="-427"/>
              <w:jc w:val="both"/>
              <w:rPr>
                <w:rFonts/>
                <w:color w:val="262626" w:themeColor="text1" w:themeTint="D9"/>
              </w:rPr>
            </w:pPr>
            <w:r>
              <w:t>En los últimos 4 años, la mayoría de los viajeros reservaron estancias de 1 a 2 noches, seguidas por estancias de 3 a 4. Estas dos duraciones representaron el 74% del total en 2022.</w:t>
            </w:r>
          </w:p>
          <w:p>
            <w:pPr>
              <w:ind w:left="-284" w:right="-427"/>
              <w:jc w:val="both"/>
              <w:rPr>
                <w:rFonts/>
                <w:color w:val="262626" w:themeColor="text1" w:themeTint="D9"/>
              </w:rPr>
            </w:pPr>
            <w:r>
              <w:t>Los viajes de trabajo y ocio duran generalmente de 3 a 6 días, y están en aumento en América del Norte, superando los niveles de 2019 en un 3%. Los hoteles, hoteles boutique, bed  and  breakfast y resorts se benefician más de esta tendencia.</w:t>
            </w:r>
          </w:p>
          <w:p>
            <w:pPr>
              <w:ind w:left="-284" w:right="-427"/>
              <w:jc w:val="both"/>
              <w:rPr>
                <w:rFonts/>
                <w:color w:val="262626" w:themeColor="text1" w:themeTint="D9"/>
              </w:rPr>
            </w:pPr>
            <w:r>
              <w:t>Patrones de estancia</w:t>
            </w:r>
          </w:p>
          <w:p>
            <w:pPr>
              <w:ind w:left="-284" w:right="-427"/>
              <w:jc w:val="both"/>
              <w:rPr>
                <w:rFonts/>
                <w:color w:val="262626" w:themeColor="text1" w:themeTint="D9"/>
              </w:rPr>
            </w:pPr>
            <w:r>
              <w:t>Durante la pandemia, no hubo cambios en los patrones de check-in/check-out.</w:t>
            </w:r>
          </w:p>
          <w:p>
            <w:pPr>
              <w:ind w:left="-284" w:right="-427"/>
              <w:jc w:val="both"/>
              <w:rPr>
                <w:rFonts/>
                <w:color w:val="262626" w:themeColor="text1" w:themeTint="D9"/>
              </w:rPr>
            </w:pPr>
            <w:r>
              <w:t>En los 4 años del estudio, los viajeros prefirieron llegar los viernes y sábados, representando el 36% de los check-ins. En América del Norte, el viernes fue más popular que el sábado, con un 21%. El domingo fue el día más popular de salida, seguido del lunes, representando el 36% de los días de salida a nivel mundial.</w:t>
            </w:r>
          </w:p>
          <w:p>
            <w:pPr>
              <w:ind w:left="-284" w:right="-427"/>
              <w:jc w:val="both"/>
              <w:rPr>
                <w:rFonts/>
                <w:color w:val="262626" w:themeColor="text1" w:themeTint="D9"/>
              </w:rPr>
            </w:pPr>
            <w:r>
              <w:t>Cloudbeds produjo este informe analizando datos de más de 1400 alojamientos en 60 países del mundo. Los resultados se dividen en cuatro regiones clave: América del norte, América Latina (México incluido), Europa y Asia Pacífico (Australia y Nueva Zelanda incluidas). Los alojamientos del conjunto de datos incluyen hoteles, hostels, bed  and  breakfast, alquileres vacacionales, moteles y alojamientos alternativos.</w:t>
            </w:r>
          </w:p>
          <w:p>
            <w:pPr>
              <w:ind w:left="-284" w:right="-427"/>
              <w:jc w:val="both"/>
              <w:rPr>
                <w:rFonts/>
                <w:color w:val="262626" w:themeColor="text1" w:themeTint="D9"/>
              </w:rPr>
            </w:pPr>
            <w:r>
              <w:t>Visitarcloudbeds.com/es/informe-hoteleria para descargar el informe completo.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Martina Orlandi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658380399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https://www.mexicopress.com.mx/cloudbeds-lanza-su-primer-informe-sobre-el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Turismo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