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Contará ISSSTE con innovador Centro de Entrenamiento e Investigación en Anatomía Quirúrgica, "Vesalius"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simulación quirúrgica en laboratorio debe ser una prioridad en la formación de cirujanos ya que disminuye el riesgo de fallo al momento de realizar procedimientos de alta complejidad, existen modelos de diversos materiales, sin embargo, el entrenamiento de técnicas quirúrgicas en modelos cadavéricos permite a las y los profesionales de la salud una mayor destreza en anatomía y aprendizaje, informó Ramiro López Elizalde, Director Médico del ISSSTE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entrevista, López Elizalde comentó que la creación del Centro de Entrenamiento e Investigación en Anatomía Quirúrgica, "Vesalius", surge de la necesidad de brindar entrenamiento integral a los nuevos cirujanos en técnicas de mínima invasión y microcirugía, y es que solo en especialidades como la neurocirugía, otorrinolaringología, cirugía de cabeza y cuello, el 95% de los residentes en Latinoamérica invierten menos de 18 horas por año en entrenamiento con modelos cadavéricos.</w:t>
            </w:r>
          </w:p>
          <w:p>
            <w:pPr>
              <w:ind w:left="-284" w:right="-427"/>
              <w:jc w:val="both"/>
              <w:rPr>
                <w:rFonts/>
                <w:color w:val="262626" w:themeColor="text1" w:themeTint="D9"/>
              </w:rPr>
            </w:pPr>
            <w:r>
              <w:t>De acuerdo a datos de la Facultad de Medicina de la Universidad Nacional Autónoma de México (http://bit.ly/3YFEcLK), existe una correlación entre los años de experiencia del cirujano y la probabilidad de que exista una lesión hacia el paciente, a mayor número de años de experiencia, se reduce la probabilidad de lesión. Esto mismo ocurre con los pilotos de avión, un piloto de avión no puede operar una aeronave después de estudiar un manual, sino que debe estar en un simulador y tener más de 1500 horas de vuelo para poder pilotear un avión comercial, siendo esta una de las industrias más seguras del mundo.</w:t>
            </w:r>
          </w:p>
          <w:p>
            <w:pPr>
              <w:ind w:left="-284" w:right="-427"/>
              <w:jc w:val="both"/>
              <w:rPr>
                <w:rFonts/>
                <w:color w:val="262626" w:themeColor="text1" w:themeTint="D9"/>
              </w:rPr>
            </w:pPr>
            <w:r>
              <w:t>El tamién neurocirujano, López Elizalde, destacó que "Vesalius" fortalecerá el desarrollo de habilidades psicomotoras, permitiendo la estandarización y la repetición de los diferentes ejercicios para adquirir una mejor técnica, lo que mejora la seguridad de los pacientes ya que disminuye errores y, por tanto, potenciales lesiones. Si bien, existen múltiples dispositivos para el entrenamiento quirúrgico, pueden ser simples o muy complejos, tener mayor o menor fidelidad; sin embargo la opción de trabajar con modelos cadavéricos sometidos a algún proceso de fijación y conservación, constituyen un insumo de altísima calidad para el entrenamiento quirúrgico, con la ventaja adicional de permitir la simulación del procedimiento operatorio completo en un ambiente seguro donde no habrá complicaciones para el "paciente".</w:t>
            </w:r>
          </w:p>
          <w:p>
            <w:pPr>
              <w:ind w:left="-284" w:right="-427"/>
              <w:jc w:val="both"/>
              <w:rPr>
                <w:rFonts/>
                <w:color w:val="262626" w:themeColor="text1" w:themeTint="D9"/>
              </w:rPr>
            </w:pPr>
            <w:r>
              <w:t>El objetivo de "Vesalius" será el entrenamiento de futuros cirujanos de alta especialidad y con instalaciones adecuadas. El Centro de Entrenamiento e Investigación en Anatomía Quirúrgica cuenta con:</w:t>
            </w:r>
          </w:p>
          <w:p>
            <w:pPr>
              <w:ind w:left="-284" w:right="-427"/>
              <w:jc w:val="both"/>
              <w:rPr>
                <w:rFonts/>
                <w:color w:val="262626" w:themeColor="text1" w:themeTint="D9"/>
              </w:rPr>
            </w:pPr>
            <w:r>
              <w:t>10 estaciones</w:t>
            </w:r>
          </w:p>
          <w:p>
            <w:pPr>
              <w:ind w:left="-284" w:right="-427"/>
              <w:jc w:val="both"/>
              <w:rPr>
                <w:rFonts/>
                <w:color w:val="262626" w:themeColor="text1" w:themeTint="D9"/>
              </w:rPr>
            </w:pPr>
            <w:r>
              <w:t>1 master table</w:t>
            </w:r>
          </w:p>
          <w:p>
            <w:pPr>
              <w:ind w:left="-284" w:right="-427"/>
              <w:jc w:val="both"/>
              <w:rPr>
                <w:rFonts/>
                <w:color w:val="262626" w:themeColor="text1" w:themeTint="D9"/>
              </w:rPr>
            </w:pPr>
            <w:r>
              <w:t>11 microscopios</w:t>
            </w:r>
          </w:p>
          <w:p>
            <w:pPr>
              <w:ind w:left="-284" w:right="-427"/>
              <w:jc w:val="both"/>
              <w:rPr>
                <w:rFonts/>
                <w:color w:val="262626" w:themeColor="text1" w:themeTint="D9"/>
              </w:rPr>
            </w:pPr>
            <w:r>
              <w:t>11 torres de endoscopia</w:t>
            </w:r>
          </w:p>
          <w:p>
            <w:pPr>
              <w:ind w:left="-284" w:right="-427"/>
              <w:jc w:val="both"/>
              <w:rPr>
                <w:rFonts/>
                <w:color w:val="262626" w:themeColor="text1" w:themeTint="D9"/>
              </w:rPr>
            </w:pPr>
            <w:r>
              <w:t>11 equipos de fresado</w:t>
            </w:r>
          </w:p>
          <w:p>
            <w:pPr>
              <w:ind w:left="-284" w:right="-427"/>
              <w:jc w:val="both"/>
              <w:rPr>
                <w:rFonts/>
                <w:color w:val="262626" w:themeColor="text1" w:themeTint="D9"/>
              </w:rPr>
            </w:pPr>
            <w:r>
              <w:t>4 refrigeradores</w:t>
            </w:r>
          </w:p>
          <w:p>
            <w:pPr>
              <w:ind w:left="-284" w:right="-427"/>
              <w:jc w:val="both"/>
              <w:rPr>
                <w:rFonts/>
                <w:color w:val="262626" w:themeColor="text1" w:themeTint="D9"/>
              </w:rPr>
            </w:pPr>
            <w:r>
              <w:t>1 tina de conservación</w:t>
            </w:r>
          </w:p>
          <w:p>
            <w:pPr>
              <w:ind w:left="-284" w:right="-427"/>
              <w:jc w:val="both"/>
              <w:rPr>
                <w:rFonts/>
                <w:color w:val="262626" w:themeColor="text1" w:themeTint="D9"/>
              </w:rPr>
            </w:pPr>
            <w:r>
              <w:t>1 área de preparación, inyección y plastinación</w:t>
            </w:r>
          </w:p>
          <w:p>
            <w:pPr>
              <w:ind w:left="-284" w:right="-427"/>
              <w:jc w:val="both"/>
              <w:rPr>
                <w:rFonts/>
                <w:color w:val="262626" w:themeColor="text1" w:themeTint="D9"/>
              </w:rPr>
            </w:pPr>
            <w:r>
              <w:t>1 aula para 40 personas</w:t>
            </w:r>
          </w:p>
          <w:p>
            <w:pPr>
              <w:ind w:left="-284" w:right="-427"/>
              <w:jc w:val="both"/>
              <w:rPr>
                <w:rFonts/>
                <w:color w:val="262626" w:themeColor="text1" w:themeTint="D9"/>
              </w:rPr>
            </w:pPr>
            <w:r>
              <w:t>Proyectores y pantallas 2D, 3D y 4K</w:t>
            </w:r>
          </w:p>
          <w:p>
            <w:pPr>
              <w:ind w:left="-284" w:right="-427"/>
              <w:jc w:val="both"/>
              <w:rPr>
                <w:rFonts/>
                <w:color w:val="262626" w:themeColor="text1" w:themeTint="D9"/>
              </w:rPr>
            </w:pPr>
            <w:r>
              <w:t>Finalmente, el Director Médico del ISSSTE, mencionó que se tiene considerado aperturar "Vesalius" en el mes de julio del año en curso, y el cual se encuentra ubicado dentro del complejo San Fernando, al sur de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Marisol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5554547102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https://www.mexicopress.com.mx/contara-issste-con-innovador-centro-de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