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02/02/2021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Inc. anuncia el precio de su oferta pública ampliada de 12,0 millones de dólares y la subida a NASDAQ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(OTCQB:CUEN), ("Cuentas", "CUEN" o "la Compañía"), un proveedor líder de soluciones de banca y pagos móviles enfocado en los consumidores latinos e hispanos, anunció hoy el precio de su oferta pública ampliada de 2,790,697 unidades a un precio al público de $4.30 por 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mismo tiempo, la empresa hizo efectiva una división inversa de sus acciones ordinarias en una proporción de 1 por 2,5. Cada unidad emitida en la oferta consiste en una acción ordinaria y una garantía de compra de una acción ordinaria (cada una de ellas después de la división inversa de las acciones). Las acciones ordinarias y los warrants que componen las unidades se separarán al cierre de la oferta y se emitirán por separado.</w:t>
            </w:r>
          </w:p>
          <w:p>
            <w:pPr>
              <w:ind w:left="-284" w:right="-427"/>
              <w:jc w:val="both"/>
              <w:rPr>
                <w:rFonts/>
                <w:color w:val="262626" w:themeColor="text1" w:themeTint="D9"/>
              </w:rPr>
            </w:pPr>
            <w:r>
              <w:t>Se espera que las acciones ordinarias y los warrants comiencen a cotizar en el Nasdaq Capital Market el 2 de febrero de 2021, bajo los símbolos "CUEN" y "CUENW", respectivamente. Cuentas espera recibir unos ingresos brutos de aproximadamente 12,0 millones de dólares, antes de deducir los descuentos y comisiones de suscripción y otros gastos estimados de la oferta.</w:t>
            </w:r>
          </w:p>
          <w:p>
            <w:pPr>
              <w:ind w:left="-284" w:right="-427"/>
              <w:jc w:val="both"/>
              <w:rPr>
                <w:rFonts/>
                <w:color w:val="262626" w:themeColor="text1" w:themeTint="D9"/>
              </w:rPr>
            </w:pPr>
            <w:r>
              <w:t>Cada warrant es inmediatamente ejercitable por una acción ordinaria a un precio de ejercicio de 4,30 dólares por acción y expirará a los 5 años de su emisión.</w:t>
            </w:r>
          </w:p>
          <w:p>
            <w:pPr>
              <w:ind w:left="-284" w:right="-427"/>
              <w:jc w:val="both"/>
              <w:rPr>
                <w:rFonts/>
                <w:color w:val="262626" w:themeColor="text1" w:themeTint="D9"/>
              </w:rPr>
            </w:pPr>
            <w:r>
              <w:t>Cuentas ha concedido a los suscriptores una opción de 45 días para comprar hasta 418.604 acciones ordinarias adicionales y/o hasta 418.604 warrants adicionales para cubrir las sobreasignaciones, si las hubiera (cada una de ellas sobre la base de la división inversa de las acciones). Se espera que la oferta se cierre el 4 de febrero de 2021, sujeta a las condiciones habituales de cierre.</w:t>
            </w:r>
          </w:p>
          <w:p>
            <w:pPr>
              <w:ind w:left="-284" w:right="-427"/>
              <w:jc w:val="both"/>
              <w:rPr>
                <w:rFonts/>
                <w:color w:val="262626" w:themeColor="text1" w:themeTint="D9"/>
              </w:rPr>
            </w:pPr>
            <w:r>
              <w:t>Maxim Group LLC actúa como único gestor de la oferta.</w:t>
            </w:r>
          </w:p>
          <w:p>
            <w:pPr>
              <w:ind w:left="-284" w:right="-427"/>
              <w:jc w:val="both"/>
              <w:rPr>
                <w:rFonts/>
                <w:color w:val="262626" w:themeColor="text1" w:themeTint="D9"/>
              </w:rPr>
            </w:pPr>
            <w:r>
              <w:t>La oferta se lleva a cabo en virtud de la declaración de registro de la empresa en el formulario S-1, con sus modificaciones (expediente nº 333-249690), presentada previamente ante la Comisión de Valores y Bolsa ("SEC") y declarada efectiva el 1 de febrero de 2021, y de la declaración de registro de la empresa en el formulario S-1 (expediente nº 333-252642), que entró en vigor el 1 de febrero de 2021. Se presentará a la SEC un folleto relativo a la oferta, que estará disponible en el sitio web de la SEC: </w:t>
            </w:r>
          </w:p>
          <w:p>
            <w:pPr>
              <w:ind w:left="-284" w:right="-427"/>
              <w:jc w:val="both"/>
              <w:rPr>
                <w:rFonts/>
                <w:color w:val="262626" w:themeColor="text1" w:themeTint="D9"/>
              </w:rPr>
            </w:pPr>
            <w:r>
              <w:t>http://www.sec.gov. Pueden obtenerse copias electrónicas del folleto relativo a esta oferta, cuando estén disponibles, solicitándolas a Maxim Group LLC, 405 Lexington Avenue, 2nd Floor, New York, NY 10174, en el número (212) 895-3745.</w:t>
            </w:r>
          </w:p>
          <w:p>
            <w:pPr>
              <w:ind w:left="-284" w:right="-427"/>
              <w:jc w:val="both"/>
              <w:rPr>
                <w:rFonts/>
                <w:color w:val="262626" w:themeColor="text1" w:themeTint="D9"/>
              </w:rPr>
            </w:pPr>
            <w:r>
              <w:t>Este comunicado de prensa no constituye una oferta de venta ni la solicitud de una oferta de compra de estos valores, ni habrá ninguna venta de estos valores en ningún estado o jurisdicción en los que dicha oferta, solicitud o venta sea ilegal antes de su registro o calificación según las leyes de valores de dicho estado o jurisdicción.</w:t>
            </w:r>
          </w:p>
          <w:p>
            <w:pPr>
              <w:ind w:left="-284" w:right="-427"/>
              <w:jc w:val="both"/>
              <w:rPr>
                <w:rFonts/>
                <w:color w:val="262626" w:themeColor="text1" w:themeTint="D9"/>
              </w:rPr>
            </w:pPr>
            <w:r>
              <w:t>Sobre CuentasCuentas, Inc. (CUEN) es una empresa Fintech que utiliza la innovación técnica junto con las tecnologías existentes y emergentes para ofrecer servicios financieros móviles, nuevos y tradicionales accesibles, eficientes y fiables a los consumidores. Cuentas está aplicando proactivamente la tecnología y los requisitos de cumplimiento para mejorar la disponibilidad, la entrega, la fiabilidad y la utilización de los servicios financieros, especialmente a los segmentos no bancarizados, sub-bancarizados y desatendidos de la sociedad actual. Sus productos están respaldados por sus principales métodos, procedimientos, contratos y propiedad intelectual. Para más información, visite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"estimación", "anticipación", "creencia", "plan" o "expectativa" o declaraciones similares son declaraciones prospectivas. Las declaraciones prospectivas contenidas en este comunicado de prensa incluyen declaraciones relacionadas con otra información disponible públicamente sobre Cuentas.</w:t>
            </w:r>
          </w:p>
          <w:p>
            <w:pPr>
              <w:ind w:left="-284" w:right="-427"/>
              <w:jc w:val="both"/>
              <w:rPr>
                <w:rFonts/>
                <w:color w:val="262626" w:themeColor="text1" w:themeTint="D9"/>
              </w:rPr>
            </w:pPr>
            <w:r>
              <w:t>Contacto:</w:t>
            </w:r>
          </w:p>
          <w:p>
            <w:pPr>
              <w:ind w:left="-284" w:right="-427"/>
              <w:jc w:val="both"/>
              <w:rPr>
                <w:rFonts/>
                <w:color w:val="262626" w:themeColor="text1" w:themeTint="D9"/>
              </w:rPr>
            </w:pPr>
            <w:r>
              <w:t>Cuentas Inc.</w:t>
            </w:r>
          </w:p>
          <w:p>
            <w:pPr>
              <w:ind w:left="-284" w:right="-427"/>
              <w:jc w:val="both"/>
              <w:rPr>
                <w:rFonts/>
                <w:color w:val="262626" w:themeColor="text1" w:themeTint="D9"/>
              </w:rPr>
            </w:pPr>
            <w:r>
              <w:t>(800) 611-3622</w:t>
            </w:r>
          </w:p>
          <w:p>
            <w:pPr>
              <w:ind w:left="-284" w:right="-427"/>
              <w:jc w:val="both"/>
              <w:rPr>
                <w:rFonts/>
                <w:color w:val="262626" w:themeColor="text1" w:themeTint="D9"/>
              </w:rPr>
            </w:pPr>
            <w:r>
              <w:t>info@cuentas.com</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https://www.mexicopress.com.mx/cuentas-inc-anuncia-el-precio-de-su-oferta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