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con un fuerte comienzo en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impulso continuo en todo el negocio da por resultados un alto crecimiento y ganancias significativamente mejores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el líder mundial que suministra tecnologías que satisfacen la creciente demanda de los alimentos, cadena de producción, eficiencia energética, soluciones amigables con el clima e infraestructura moderna, anunció un sólido desempeño durante los primeros tres meses de 2018 con mayores ventas y ganancias significativamente mejores. Las ventas aumentaron en 37 millones de euros hasta los 1.474 millones de euros, un aumento del 9% en moneda local. El aumento de las ventas elevó las ganancias (EBIT) en un 19% a 166m EUR, y las ganancias netas mejoraron un 22% equivalentes a 113m EUR.</w:t>
            </w:r>
          </w:p>
          <w:p>
            <w:pPr>
              <w:ind w:left="-284" w:right="-427"/>
              <w:jc w:val="both"/>
              <w:rPr>
                <w:rFonts/>
                <w:color w:val="262626" w:themeColor="text1" w:themeTint="D9"/>
              </w:rPr>
            </w:pPr>
            <w:r>
              <w:t>Se puede ver que las mega tendencias globales como la urbanización, la digitalización y la electrificación realmente están despegando. Además de eso, la eficiencia energética se ha colocado en la cima de la agenda global como un elemento crucial y muy rentable en la lucha contra el cambio climático y la contaminación del aire. Las fuertes tendencias hacen que Danfoss sea más relevante nunca antes, y nos brinda una sólida plataforma para invertir significativamente en nuevas tecnologías que se ajustan a las necesidades del mundo y de nuestros clientes en el futuro, dice Kim Fausing, presidente y CEO.</w:t>
            </w:r>
          </w:p>
          <w:p>
            <w:pPr>
              <w:ind w:left="-284" w:right="-427"/>
              <w:jc w:val="both"/>
              <w:rPr>
                <w:rFonts/>
                <w:color w:val="262626" w:themeColor="text1" w:themeTint="D9"/>
              </w:rPr>
            </w:pPr>
            <w:r>
              <w:t>A nivel de mercado, el primer trimestre de 2018 mostró un crecimiento continuo en América del Norte, Europa y China. Lo más significativo en el mercado chino, donde las grandes inversiones en soluciones energéticamente eficientes y respetuosas con el clima, como las grandes bombas de calor y la expansión de los sistemas de calefacción urbana, han llevado a una mayor demanda de tecnologías de Danfoss.</w:t>
            </w:r>
          </w:p>
          <w:p>
            <w:pPr>
              <w:ind w:left="-284" w:right="-427"/>
              <w:jc w:val="both"/>
              <w:rPr>
                <w:rFonts/>
                <w:color w:val="262626" w:themeColor="text1" w:themeTint="D9"/>
              </w:rPr>
            </w:pPr>
            <w:r>
              <w:t>El impulso se basó ampliamente en los cuatro segmentos comerciales de Danfoss. El mayor crecimiento fue entregado por el negocio más cíclico de la compañía, Danfoss Power Solutions, división que suministra soluciones hidráulicas para vehículos todo terreno y actualmente está experimentando una gran demanda en los EE. UU., Europa y China, donde las inversiones masivas en infraestructura impulsan un aumento en las ventas.</w:t>
            </w:r>
          </w:p>
          <w:p>
            <w:pPr>
              <w:ind w:left="-284" w:right="-427"/>
              <w:jc w:val="both"/>
              <w:rPr>
                <w:rFonts/>
                <w:color w:val="262626" w:themeColor="text1" w:themeTint="D9"/>
              </w:rPr>
            </w:pPr>
            <w:r>
              <w:t>Hemos logrado un fuerte impulso en todos nuestros segmentos comerciales, y es muy positivo que nuestro progreso sea impulsado por nuestras iniciativas de crecimiento específicas. Naturalmente, también beneficia a nuestro negocio que los niveles de inversión en general, y en especial dentro de la nueva y moderna infraestructura, son altos en este momento, y nos da un fuerte inicio para continuar nuestras inversiones en crecimiento´, dice Kim Fausing.</w:t>
            </w:r>
          </w:p>
          <w:p>
            <w:pPr>
              <w:ind w:left="-284" w:right="-427"/>
              <w:jc w:val="both"/>
              <w:rPr>
                <w:rFonts/>
                <w:color w:val="262626" w:themeColor="text1" w:themeTint="D9"/>
              </w:rPr>
            </w:pPr>
            <w:r>
              <w:t>Cifras clave del Q1 2018:</w:t>
            </w:r>
          </w:p>
          <w:p>
            <w:pPr>
              <w:ind w:left="-284" w:right="-427"/>
              <w:jc w:val="both"/>
              <w:rPr>
                <w:rFonts/>
                <w:color w:val="262626" w:themeColor="text1" w:themeTint="D9"/>
              </w:rPr>
            </w:pPr>
            <w:r>
              <w:t>• Las ventas del primer trimestre de 2018 aumentaron a 1.474 millones de euros (1T 2017: 1.437 millones de euros), lo que corresponde a un crecimiento del 9% en moneda local.</w:t>
            </w:r>
          </w:p>
          <w:p>
            <w:pPr>
              <w:ind w:left="-284" w:right="-427"/>
              <w:jc w:val="both"/>
              <w:rPr>
                <w:rFonts/>
                <w:color w:val="262626" w:themeColor="text1" w:themeTint="D9"/>
              </w:rPr>
            </w:pPr>
            <w:r>
              <w:t>• El beneficio operativo (EBIT) mejoró en 27 millones de euros hasta 166 millones de euros (1T 2017: 139 millones de euros), lo que arroja un margen EBIT del 11,3% (1T 2017: 9,7%).</w:t>
            </w:r>
          </w:p>
          <w:p>
            <w:pPr>
              <w:ind w:left="-284" w:right="-427"/>
              <w:jc w:val="both"/>
              <w:rPr>
                <w:rFonts/>
                <w:color w:val="262626" w:themeColor="text1" w:themeTint="D9"/>
              </w:rPr>
            </w:pPr>
            <w:r>
              <w:t>• El beneficio neto mejoró en EUR 20m hasta EUR 113m (Q1 2017: EUR 93m).</w:t>
            </w:r>
          </w:p>
          <w:p>
            <w:pPr>
              <w:ind w:left="-284" w:right="-427"/>
              <w:jc w:val="both"/>
              <w:rPr>
                <w:rFonts/>
                <w:color w:val="262626" w:themeColor="text1" w:themeTint="D9"/>
              </w:rPr>
            </w:pPr>
            <w:r>
              <w:t>A partir de 2018, Danfoss cambió su moneda de presentación de DKK a EUR. La transición refleja que la parte principal de los ingresos del Grupo se genera fuera de Dinamarca y que el EUR es la moneda funcional prevaleciente dentro del Grupo.</w:t>
            </w:r>
          </w:p>
          <w:p>
            <w:pPr>
              <w:ind w:left="-284" w:right="-427"/>
              <w:jc w:val="both"/>
              <w:rPr>
                <w:rFonts/>
                <w:color w:val="262626" w:themeColor="text1" w:themeTint="D9"/>
              </w:rPr>
            </w:pPr>
            <w:r>
              <w:t>En las perspectivas para 2018, se espera mantener o expandir la participación de mercado, mientras la compañía mantiene la rentabilidad medida como margen a nivel de 2017 luego de importantes inversiones en digitalización.</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https://www.mexicopress.com.mx/danfoss-con-un-fuerte-comienzo-en-2018</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