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Dividenz: complejos industriales en EE.UU, la tendencia de inversión latinoamericana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las últimas décadas, el mundo de las inversiones ha experimentado una notable transformación. Con un acceso más amplio a mercados internacionales, los inversores mexicanos ahora tienen a su disposición una gama más extensa de instrumentos de inversión, incluyendo opciones atractivas como el mercado inmobiliario en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sector, en particular, ha captado la atención de la comunidad inversora mexicana, convirtiéndola en uno de los grupos latinoamericanos más activos en el Real Estate estadounidense. La inversión ya establecida en complejos industriales ha ganado impulso recientemente, en gran medida por el auge del comercio electrónico tras la pandemia, que incrementó la necesidad de espacios para logística, distribución, almacenamiento y producción. Este sector sigue siendo un foco de interés por su solidez y rendimientos consistentes. </w:t>
            </w:r>
          </w:p>
          <w:p>
            <w:pPr>
              <w:ind w:left="-284" w:right="-427"/>
              <w:jc w:val="both"/>
              <w:rPr>
                <w:rFonts/>
                <w:color w:val="262626" w:themeColor="text1" w:themeTint="D9"/>
              </w:rPr>
            </w:pPr>
            <w:r>
              <w:t>Este tipo de inmuebles, que varían desde almacenes amplios hasta complejos de manufactura especializada, son esenciales para el funcionamiento eficiente de la cadena de suministro global. La inversión en este sector se destaca por ofrecer un potencial de crecimiento sostenido, alimentado por la demanda constante de estos espacios que facilitan el flujo incesante de bienes en la economía mundial.</w:t>
            </w:r>
          </w:p>
          <w:p>
            <w:pPr>
              <w:ind w:left="-284" w:right="-427"/>
              <w:jc w:val="both"/>
              <w:rPr>
                <w:rFonts/>
                <w:color w:val="262626" w:themeColor="text1" w:themeTint="D9"/>
              </w:rPr>
            </w:pPr>
            <w:r>
              <w:t>El sector industrial en el Real Estate de EE.UU. se posiciona como el segundo más importante después del sector multifamiliar con un 24.6% del market share en el tercer trimestre de 20231.  Se presenta como un instrumento destacado, especialmente para inversores mexicanos que buscan potenciar y proteger su capital. En este período, este sector experimentó un crecimiento significativo, obteniendo un volumen de inversión de 20 billones de dólares, en gran parte gracias a la solidez otorgada por las empresas arrendatarias, muchas de ellas corporaciones de renombre internacional. Estas empresas, que suelen firmar contratos de arrendamiento largos, proporcionan una rentabilidad sostenida y un nivel de estabilidad poco común en otras inversiones. Además, la generación de utilidades mensuales en dólares por el alquiler de estas propiedades hace de los complejos industriales una opción atractiva para inversores que buscan diversificar sus carteras.</w:t>
            </w:r>
          </w:p>
          <w:p>
            <w:pPr>
              <w:ind w:left="-284" w:right="-427"/>
              <w:jc w:val="both"/>
              <w:rPr>
                <w:rFonts/>
                <w:color w:val="262626" w:themeColor="text1" w:themeTint="D9"/>
              </w:rPr>
            </w:pPr>
            <w:r>
              <w:t>Iván Chomer, CEO de Dividenz, destacó: "Dividenz da acceso a todos los latinoamericanos a una diversidad de sectores de Real Estate, como el modelo industrial y el multifamiliar, que combinan una rentabilidad atractiva en dólares bajo el respaldo de un país con una sólida economía. Su más reciente DEAL, SRS Distribution, ubicado en Portland, Oregon, abre las puertas a los mexicanos para iniciarse en las inversiones en propiedades industriales con una rentabilidad proyectada del 15.30% anual en dólares", comentó Chomer.</w:t>
            </w:r>
          </w:p>
          <w:p>
            <w:pPr>
              <w:ind w:left="-284" w:right="-427"/>
              <w:jc w:val="both"/>
              <w:rPr>
                <w:rFonts/>
                <w:color w:val="262626" w:themeColor="text1" w:themeTint="D9"/>
              </w:rPr>
            </w:pPr>
            <w:r>
              <w:t>La era de la inversión global ha llegado, y con ella, nuevas posibilidades de crecimiento y éxito financiero. Con la tecnología como puente, a través de Dividenz, inversores mexicanos y latinoamericanos pueden participar de manera remota y eficiente en el mercado de propiedades industriales de EE.UU., beneficiándose de la estabilidad económica y el crecimiento constante que este país.</w:t>
            </w:r>
          </w:p>
          <w:p>
            <w:pPr>
              <w:ind w:left="-284" w:right="-427"/>
              <w:jc w:val="both"/>
              <w:rPr>
                <w:rFonts/>
                <w:color w:val="262626" w:themeColor="text1" w:themeTint="D9"/>
              </w:rPr>
            </w:pPr>
            <w:r>
              <w:t>FUENTE:1 https://mktgdocs.cbre.com/2299/8800196e-8645-42d9-9457-d9149e4895d5-2776708499.pdf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https://www.mexicopress.com.mx/dividenz-complejos-industriales-en-ee-uu-la_1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