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trabajo híbrido requiere de una educación flexible y autodirigida: Centro Competencias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69% de las compañías en Latinoamérica están preocupadas por el impacto del trabajo híbrido en sus organizaciones por la falta de un sistema de capacitación virtual. Los modelos de estudio híbridos y remotos contribuyen en la transformación de las empresas y capitalizar el talento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tres años de que la pandemia forzara a las organizaciones a implementar modelos de trabajo remotos, la mayoría de los responsables de Recursos Humano consideran que aún deben trabajar para crear una cultura cada vez menos presencial en sus compañías, sobre todo si se plantean la posibilidad de adoptar esquemas de trabajo híbrido de manera permanente.</w:t>
            </w:r>
          </w:p>
          <w:p>
            <w:pPr>
              <w:ind w:left="-284" w:right="-427"/>
              <w:jc w:val="both"/>
              <w:rPr>
                <w:rFonts/>
                <w:color w:val="262626" w:themeColor="text1" w:themeTint="D9"/>
              </w:rPr>
            </w:pPr>
            <w:r>
              <w:t>En Latinoamérica, el 50% de los colaboradores trabajaría en una empresa solo si pudiera hacerlo de forma remota o híbrida, de acuerdo con el estudio "Tendencias Globales de Talento 2022", de la consultoría norteamericana Mercer. Sin embargo, el 69% de los líderes de RH están preocupados por el impacto del trabajo no presencial en la cultura organizacional, ya que afirman que no poseen un sistema de aprendizaje virtual, lo que exige cambiar la forma de capacitar a su personal.</w:t>
            </w:r>
          </w:p>
          <w:p>
            <w:pPr>
              <w:ind w:left="-284" w:right="-427"/>
              <w:jc w:val="both"/>
              <w:rPr>
                <w:rFonts/>
                <w:color w:val="262626" w:themeColor="text1" w:themeTint="D9"/>
              </w:rPr>
            </w:pPr>
            <w:r>
              <w:t>Ante esta problemática, Juan Arenas, vicerrector de Educación Abierta de Tecmilenio, destacó la importancia de que los modelos de aprendizaje desarrollen competencias profesionales y habilidades blandas en sus estudiantes, bajo modelos flexibles de estudio. Asimismo, con esquemas híbridos y remotos que permitan empatar las actividades laborales con las académicas, incluso la creación de proyectos académicos aplicables en la compañía.</w:t>
            </w:r>
          </w:p>
          <w:p>
            <w:pPr>
              <w:ind w:left="-284" w:right="-427"/>
              <w:jc w:val="both"/>
              <w:rPr>
                <w:rFonts/>
                <w:color w:val="262626" w:themeColor="text1" w:themeTint="D9"/>
              </w:rPr>
            </w:pPr>
            <w:r>
              <w:t>Y es que, de acuerdo con información del Banco Mundial, además de las habilidades técnicas, el aprendizaje activo, pensamiento analítico, conocimiento y uso de tecnología, destacan entre las principales competencias que buscan las empresas en sus colaboradores.</w:t>
            </w:r>
          </w:p>
          <w:p>
            <w:pPr>
              <w:ind w:left="-284" w:right="-427"/>
              <w:jc w:val="both"/>
              <w:rPr>
                <w:rFonts/>
                <w:color w:val="262626" w:themeColor="text1" w:themeTint="D9"/>
              </w:rPr>
            </w:pPr>
            <w:r>
              <w:t>"Es importante que las universidades implementen modelos de estudio híbridos y autodirigidos de calidad, que permitan el desarrollo de habilidades blandas y técnicas que los estudiantes necesitan para crecer dentro de sus organizaciones y se desempeñen óptimamente en cualquier esquema de trabajo", señaló el directivo de Tecmilenio.</w:t>
            </w:r>
          </w:p>
          <w:p>
            <w:pPr>
              <w:ind w:left="-284" w:right="-427"/>
              <w:jc w:val="both"/>
              <w:rPr>
                <w:rFonts/>
                <w:color w:val="262626" w:themeColor="text1" w:themeTint="D9"/>
              </w:rPr>
            </w:pPr>
            <w:r>
              <w:t>Conscientes de las necesidades de las organizaciones por desarrollar correctamente las competencias de sus colaboradores, el Centro de Competencias de Tecmilenio, a través de los programas académicos cocreado con expertos de distintas industrias, ofrece diversas modalidades de capacitación con el objetivo de contribuir en la transformación de las empresas y capitalizar el talento humano.</w:t>
            </w:r>
          </w:p>
          <w:p>
            <w:pPr>
              <w:ind w:left="-284" w:right="-427"/>
              <w:jc w:val="both"/>
              <w:rPr>
                <w:rFonts/>
                <w:color w:val="262626" w:themeColor="text1" w:themeTint="D9"/>
              </w:rPr>
            </w:pPr>
            <w:r>
              <w:t>Acerca del Centro de CompetenciasEl Centro de Competencias de Tecmilenio, es una plataforma digital de educación abierta donde convergen personas y empresas que buscan adquirir, actualizar y aumentar sus competencias para su desarrollo profesional a través de microcredenciales, credenciales y certificados.  Dentro del Centro de Competencias se ofrecen más de 900 programas de diversos temas relacionados con los negocios como marketing digital, finanzas, administración, capital humano, desarrollo web, entre muchos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https://www.mexicopress.com.mx/el-trabajo-hibrido-requiere-de-una-educacion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Estado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