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Fraude en las empresas ¿Cuáles son las más vulnerables y por qué?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 de cada 10 empresas en México han sufrido un fraude. Las compras online impulsaron los fraudes en un 80%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fraude es un fenómeno que existe en la mayoría de las empresas de México y el mundo, cuyos costos son representativos para las organizaciones. En la mayoría de los casos se trata de combatir al fraude de una forma reactiva en lugar de establecer los mecanismos adecuados para prevenir este ilícito.</w:t>
            </w:r>
          </w:p>
          <w:p>
            <w:pPr>
              <w:ind w:left="-284" w:right="-427"/>
              <w:jc w:val="both"/>
              <w:rPr>
                <w:rFonts/>
                <w:color w:val="262626" w:themeColor="text1" w:themeTint="D9"/>
              </w:rPr>
            </w:pPr>
            <w:r>
              <w:t>Los especialistas en De la Paz, Costemalle - DFK mencionan que según el artículo 250 del código penal “Comete el delito de fraude el que, engañando a alguno o aprovechándose del error en que éste se halle, se haga ilícitamente de una cosa, o alcance un lucro o beneficio indebido, para sí o para otro”.</w:t>
            </w:r>
          </w:p>
          <w:p>
            <w:pPr>
              <w:ind w:left="-284" w:right="-427"/>
              <w:jc w:val="both"/>
              <w:rPr>
                <w:rFonts/>
                <w:color w:val="262626" w:themeColor="text1" w:themeTint="D9"/>
              </w:rPr>
            </w:pPr>
            <w:r>
              <w:t>Las principales fuentes de detección inicial de fraude:</w:t>
            </w:r>
          </w:p>
          <w:p>
            <w:pPr>
              <w:ind w:left="-284" w:right="-427"/>
              <w:jc w:val="both"/>
              <w:rPr>
                <w:rFonts/>
                <w:color w:val="262626" w:themeColor="text1" w:themeTint="D9"/>
              </w:rPr>
            </w:pPr>
            <w:r>
              <w:t>
                <w:p>
                  <w:pPr>
                    <w:ind w:left="-284" w:right="-427"/>
                    <w:jc w:val="both"/>
                    <w:rPr>
                      <w:rFonts/>
                      <w:color w:val="262626" w:themeColor="text1" w:themeTint="D9"/>
                    </w:rPr>
                  </w:pPr>
                  <w:r>
                    <w:t>43% Reporte de empleados o terceros.</w:t>
                  </w:r>
                </w:p>
              </w:t>
            </w:r>
          </w:p>
          <w:p>
            <w:pPr>
              <w:ind w:left="-284" w:right="-427"/>
              <w:jc w:val="both"/>
              <w:rPr>
                <w:rFonts/>
                <w:color w:val="262626" w:themeColor="text1" w:themeTint="D9"/>
              </w:rPr>
            </w:pPr>
            <w:r>
              <w:t>
                <w:p>
                  <w:pPr>
                    <w:ind w:left="-284" w:right="-427"/>
                    <w:jc w:val="both"/>
                    <w:rPr>
                      <w:rFonts/>
                      <w:color w:val="262626" w:themeColor="text1" w:themeTint="D9"/>
                    </w:rPr>
                  </w:pPr>
                  <w:r>
                    <w:t>15% Revisiones de la administración.</w:t>
                  </w:r>
                </w:p>
              </w:t>
            </w:r>
          </w:p>
          <w:p>
            <w:pPr>
              <w:ind w:left="-284" w:right="-427"/>
              <w:jc w:val="both"/>
              <w:rPr>
                <w:rFonts/>
                <w:color w:val="262626" w:themeColor="text1" w:themeTint="D9"/>
              </w:rPr>
            </w:pPr>
            <w:r>
              <w:t>
                <w:p>
                  <w:pPr>
                    <w:ind w:left="-284" w:right="-427"/>
                    <w:jc w:val="both"/>
                    <w:rPr>
                      <w:rFonts/>
                      <w:color w:val="262626" w:themeColor="text1" w:themeTint="D9"/>
                    </w:rPr>
                  </w:pPr>
                  <w:r>
                    <w:t>15% Auditoría interna.</w:t>
                  </w:r>
                </w:p>
              </w:t>
            </w:r>
          </w:p>
          <w:p>
            <w:pPr>
              <w:ind w:left="-284" w:right="-427"/>
              <w:jc w:val="both"/>
              <w:rPr>
                <w:rFonts/>
                <w:color w:val="262626" w:themeColor="text1" w:themeTint="D9"/>
              </w:rPr>
            </w:pPr>
            <w:r>
              <w:t>
                <w:p>
                  <w:pPr>
                    <w:ind w:left="-284" w:right="-427"/>
                    <w:jc w:val="both"/>
                    <w:rPr>
                      <w:rFonts/>
                      <w:color w:val="262626" w:themeColor="text1" w:themeTint="D9"/>
                    </w:rPr>
                  </w:pPr>
                  <w:r>
                    <w:t>5% por accidente.</w:t>
                  </w:r>
                </w:p>
              </w:t>
            </w:r>
          </w:p>
          <w:p>
            <w:pPr>
              <w:ind w:left="-284" w:right="-427"/>
              <w:jc w:val="both"/>
              <w:rPr>
                <w:rFonts/>
                <w:color w:val="262626" w:themeColor="text1" w:themeTint="D9"/>
              </w:rPr>
            </w:pPr>
            <w:r>
              <w:t>
                <w:p>
                  <w:pPr>
                    <w:ind w:left="-284" w:right="-427"/>
                    <w:jc w:val="both"/>
                    <w:rPr>
                      <w:rFonts/>
                      <w:color w:val="262626" w:themeColor="text1" w:themeTint="D9"/>
                    </w:rPr>
                  </w:pPr>
                  <w:r>
                    <w:t>4%Reconciliación de la cuenta.</w:t>
                  </w:r>
                </w:p>
              </w:t>
            </w:r>
          </w:p>
          <w:p>
            <w:pPr>
              <w:ind w:left="-284" w:right="-427"/>
              <w:jc w:val="both"/>
              <w:rPr>
                <w:rFonts/>
                <w:color w:val="262626" w:themeColor="text1" w:themeTint="D9"/>
              </w:rPr>
            </w:pPr>
            <w:r>
              <w:t>
                <w:p>
                  <w:pPr>
                    <w:ind w:left="-284" w:right="-427"/>
                    <w:jc w:val="both"/>
                    <w:rPr>
                      <w:rFonts/>
                      <w:color w:val="262626" w:themeColor="text1" w:themeTint="D9"/>
                    </w:rPr>
                  </w:pPr>
                  <w:r>
                    <w:t>3% Revisión de documentos.</w:t>
                  </w:r>
                </w:p>
              </w:t>
            </w:r>
          </w:p>
          <w:p>
            <w:pPr>
              <w:ind w:left="-284" w:right="-427"/>
              <w:jc w:val="both"/>
              <w:rPr>
                <w:rFonts/>
                <w:color w:val="262626" w:themeColor="text1" w:themeTint="D9"/>
              </w:rPr>
            </w:pPr>
            <w:r>
              <w:t>
                <w:p>
                  <w:pPr>
                    <w:ind w:left="-284" w:right="-427"/>
                    <w:jc w:val="both"/>
                    <w:rPr>
                      <w:rFonts/>
                      <w:color w:val="262626" w:themeColor="text1" w:themeTint="D9"/>
                    </w:rPr>
                  </w:pPr>
                  <w:r>
                    <w:t>2% Vigilancia / seguimiento.</w:t>
                  </w:r>
                </w:p>
              </w:t>
            </w:r>
          </w:p>
          <w:p>
            <w:pPr>
              <w:ind w:left="-284" w:right="-427"/>
              <w:jc w:val="both"/>
              <w:rPr>
                <w:rFonts/>
                <w:color w:val="262626" w:themeColor="text1" w:themeTint="D9"/>
              </w:rPr>
            </w:pPr>
            <w:r>
              <w:t>
                <w:p>
                  <w:pPr>
                    <w:ind w:left="-284" w:right="-427"/>
                    <w:jc w:val="both"/>
                    <w:rPr>
                      <w:rFonts/>
                      <w:color w:val="262626" w:themeColor="text1" w:themeTint="D9"/>
                    </w:rPr>
                  </w:pPr>
                  <w:r>
                    <w:t>2% Notificación por la policía.</w:t>
                  </w:r>
                </w:p>
              </w:t>
            </w:r>
          </w:p>
          <w:p>
            <w:pPr>
              <w:ind w:left="-284" w:right="-427"/>
              <w:jc w:val="both"/>
              <w:rPr>
                <w:rFonts/>
                <w:color w:val="262626" w:themeColor="text1" w:themeTint="D9"/>
              </w:rPr>
            </w:pPr>
            <w:r>
              <w:t>
                <w:p>
                  <w:pPr>
                    <w:ind w:left="-284" w:right="-427"/>
                    <w:jc w:val="both"/>
                    <w:rPr>
                      <w:rFonts/>
                      <w:color w:val="262626" w:themeColor="text1" w:themeTint="D9"/>
                    </w:rPr>
                  </w:pPr>
                  <w:r>
                    <w:t>1% Confesión.</w:t>
                  </w:r>
                </w:p>
              </w:t>
            </w:r>
          </w:p>
          <w:p>
            <w:pPr>
              <w:ind w:left="-284" w:right="-427"/>
              <w:jc w:val="both"/>
              <w:rPr>
                <w:rFonts/>
                <w:color w:val="262626" w:themeColor="text1" w:themeTint="D9"/>
              </w:rPr>
            </w:pPr>
            <w:r>
              <w:t>
                <w:p>
                  <w:pPr>
                    <w:ind w:left="-284" w:right="-427"/>
                    <w:jc w:val="both"/>
                    <w:rPr>
                      <w:rFonts/>
                      <w:color w:val="262626" w:themeColor="text1" w:themeTint="D9"/>
                    </w:rPr>
                  </w:pPr>
                  <w:r>
                    <w:t>.8% Control de TI.</w:t>
                  </w:r>
                </w:p>
              </w:t>
            </w:r>
          </w:p>
          <w:p>
            <w:pPr>
              <w:ind w:left="-284" w:right="-427"/>
              <w:jc w:val="both"/>
              <w:rPr>
                <w:rFonts/>
                <w:color w:val="262626" w:themeColor="text1" w:themeTint="D9"/>
              </w:rPr>
            </w:pPr>
            <w:r>
              <w:t>Existen registros que indican que los defraudadores son en su mayoría personas con edades laboralmente activas:</w:t>
            </w:r>
          </w:p>
          <w:p>
            <w:pPr>
              <w:ind w:left="-284" w:right="-427"/>
              <w:jc w:val="both"/>
              <w:rPr>
                <w:rFonts/>
                <w:color w:val="262626" w:themeColor="text1" w:themeTint="D9"/>
              </w:rPr>
            </w:pPr>
            <w:r>
              <w:t>
                <w:p>
                  <w:pPr>
                    <w:ind w:left="-284" w:right="-427"/>
                    <w:jc w:val="both"/>
                    <w:rPr>
                      <w:rFonts/>
                      <w:color w:val="262626" w:themeColor="text1" w:themeTint="D9"/>
                    </w:rPr>
                  </w:pPr>
                  <w:r>
                    <w:t>Entre 36 y 45 años están un 37%</w:t>
                  </w:r>
                </w:p>
              </w:t>
            </w:r>
          </w:p>
          <w:p>
            <w:pPr>
              <w:ind w:left="-284" w:right="-427"/>
              <w:jc w:val="both"/>
              <w:rPr>
                <w:rFonts/>
                <w:color w:val="262626" w:themeColor="text1" w:themeTint="D9"/>
              </w:rPr>
            </w:pPr>
            <w:r>
              <w:t>
                <w:p>
                  <w:pPr>
                    <w:ind w:left="-284" w:right="-427"/>
                    <w:jc w:val="both"/>
                    <w:rPr>
                      <w:rFonts/>
                      <w:color w:val="262626" w:themeColor="text1" w:themeTint="D9"/>
                    </w:rPr>
                  </w:pPr>
                  <w:r>
                    <w:t>Entre 26 y 35 años están un 26%</w:t>
                  </w:r>
                </w:p>
              </w:t>
            </w:r>
          </w:p>
          <w:p>
            <w:pPr>
              <w:ind w:left="-284" w:right="-427"/>
              <w:jc w:val="both"/>
              <w:rPr>
                <w:rFonts/>
                <w:color w:val="262626" w:themeColor="text1" w:themeTint="D9"/>
              </w:rPr>
            </w:pPr>
            <w:r>
              <w:t>
                <w:p>
                  <w:pPr>
                    <w:ind w:left="-284" w:right="-427"/>
                    <w:jc w:val="both"/>
                    <w:rPr>
                      <w:rFonts/>
                      <w:color w:val="262626" w:themeColor="text1" w:themeTint="D9"/>
                    </w:rPr>
                  </w:pPr>
                  <w:r>
                    <w:t>Entre 246 y 55 años están un 22%</w:t>
                  </w:r>
                </w:p>
              </w:t>
            </w:r>
          </w:p>
          <w:p>
            <w:pPr>
              <w:ind w:left="-284" w:right="-427"/>
              <w:jc w:val="both"/>
              <w:rPr>
                <w:rFonts/>
                <w:color w:val="262626" w:themeColor="text1" w:themeTint="D9"/>
              </w:rPr>
            </w:pPr>
            <w:r>
              <w:t>Los expertos en De la Paz Costemalle – DFK concuerdan con ACFE 2020 Report to the Nation que 46% las empresas entre 1 y 5 años de antigüedad son las más vulnerables para los fraudes. Lamentablemente México ocupa el lugar 130 de 180 países en el indica de percepción de corrupción.</w:t>
            </w:r>
          </w:p>
          <w:p>
            <w:pPr>
              <w:ind w:left="-284" w:right="-427"/>
              <w:jc w:val="both"/>
              <w:rPr>
                <w:rFonts/>
                <w:color w:val="262626" w:themeColor="text1" w:themeTint="D9"/>
              </w:rPr>
            </w:pPr>
            <w:r>
              <w:t>En cuanto a los fraudes empresariales se tiene la percepción errónea de que quien debe combatir el fraude en las empresas es la autoridad gubernamental, sin embargo, en De la Paz, Costemalle DFK afirman los expertos que es la administración de cada empresa la responsable.</w:t>
            </w:r>
          </w:p>
          <w:p>
            <w:pPr>
              <w:ind w:left="-284" w:right="-427"/>
              <w:jc w:val="both"/>
              <w:rPr>
                <w:rFonts/>
                <w:color w:val="262626" w:themeColor="text1" w:themeTint="D9"/>
              </w:rPr>
            </w:pPr>
            <w:r>
              <w:t>Los especialistas en De la Paz, Costemalle DFK comentan que los tipos de fraude que más se ve en las empresas son:</w:t>
            </w:r>
          </w:p>
          <w:p>
            <w:pPr>
              <w:ind w:left="-284" w:right="-427"/>
              <w:jc w:val="both"/>
              <w:rPr>
                <w:rFonts/>
                <w:color w:val="262626" w:themeColor="text1" w:themeTint="D9"/>
              </w:rPr>
            </w:pPr>
            <w:r>
              <w:t>
                <w:p>
                  <w:pPr>
                    <w:ind w:left="-284" w:right="-427"/>
                    <w:jc w:val="both"/>
                    <w:rPr>
                      <w:rFonts/>
                      <w:color w:val="262626" w:themeColor="text1" w:themeTint="D9"/>
                    </w:rPr>
                  </w:pPr>
                  <w:r>
                    <w:t>Malversación de estados financieros y reporte.</w:t>
                  </w:r>
                </w:p>
              </w:t>
            </w:r>
          </w:p>
          <w:p>
            <w:pPr>
              <w:ind w:left="-284" w:right="-427"/>
              <w:jc w:val="both"/>
              <w:rPr>
                <w:rFonts/>
                <w:color w:val="262626" w:themeColor="text1" w:themeTint="D9"/>
              </w:rPr>
            </w:pPr>
            <w:r>
              <w:t>
                <w:p>
                  <w:pPr>
                    <w:ind w:left="-284" w:right="-427"/>
                    <w:jc w:val="both"/>
                    <w:rPr>
                      <w:rFonts/>
                      <w:color w:val="262626" w:themeColor="text1" w:themeTint="D9"/>
                    </w:rPr>
                  </w:pPr>
                  <w:r>
                    <w:t>Malversación de activos.</w:t>
                  </w:r>
                </w:p>
              </w:t>
            </w:r>
          </w:p>
          <w:p>
            <w:pPr>
              <w:ind w:left="-284" w:right="-427"/>
              <w:jc w:val="both"/>
              <w:rPr>
                <w:rFonts/>
                <w:color w:val="262626" w:themeColor="text1" w:themeTint="D9"/>
              </w:rPr>
            </w:pPr>
            <w:r>
              <w:t>
                <w:p>
                  <w:pPr>
                    <w:ind w:left="-284" w:right="-427"/>
                    <w:jc w:val="both"/>
                    <w:rPr>
                      <w:rFonts/>
                      <w:color w:val="262626" w:themeColor="text1" w:themeTint="D9"/>
                    </w:rPr>
                  </w:pPr>
                  <w:r>
                    <w:t>Corrupción (mordidas gratificaciones, extorsión y conflictos).</w:t>
                  </w:r>
                </w:p>
              </w:t>
            </w:r>
          </w:p>
          <w:p>
            <w:pPr>
              <w:ind w:left="-284" w:right="-427"/>
              <w:jc w:val="both"/>
              <w:rPr>
                <w:rFonts/>
                <w:color w:val="262626" w:themeColor="text1" w:themeTint="D9"/>
              </w:rPr>
            </w:pPr>
            <w:r>
              <w:t>Dentro de estos los fraudes más comunes que se presentan son:</w:t>
            </w:r>
          </w:p>
          <w:p>
            <w:pPr>
              <w:ind w:left="-284" w:right="-427"/>
              <w:jc w:val="both"/>
              <w:rPr>
                <w:rFonts/>
                <w:color w:val="262626" w:themeColor="text1" w:themeTint="D9"/>
              </w:rPr>
            </w:pPr>
            <w:r>
              <w:t>
                <w:p>
                  <w:pPr>
                    <w:ind w:left="-284" w:right="-427"/>
                    <w:jc w:val="both"/>
                    <w:rPr>
                      <w:rFonts/>
                      <w:color w:val="262626" w:themeColor="text1" w:themeTint="D9"/>
                    </w:rPr>
                  </w:pPr>
                  <w:r>
                    <w:t>Alteración en ingresos.</w:t>
                  </w:r>
                </w:p>
              </w:t>
            </w:r>
          </w:p>
          <w:p>
            <w:pPr>
              <w:ind w:left="-284" w:right="-427"/>
              <w:jc w:val="both"/>
              <w:rPr>
                <w:rFonts/>
                <w:color w:val="262626" w:themeColor="text1" w:themeTint="D9"/>
              </w:rPr>
            </w:pPr>
            <w:r>
              <w:t>
                <w:p>
                  <w:pPr>
                    <w:ind w:left="-284" w:right="-427"/>
                    <w:jc w:val="both"/>
                    <w:rPr>
                      <w:rFonts/>
                      <w:color w:val="262626" w:themeColor="text1" w:themeTint="D9"/>
                    </w:rPr>
                  </w:pPr>
                  <w:r>
                    <w:t>Disposición de efectivo.</w:t>
                  </w:r>
                </w:p>
              </w:t>
            </w:r>
          </w:p>
          <w:p>
            <w:pPr>
              <w:ind w:left="-284" w:right="-427"/>
              <w:jc w:val="both"/>
              <w:rPr>
                <w:rFonts/>
                <w:color w:val="262626" w:themeColor="text1" w:themeTint="D9"/>
              </w:rPr>
            </w:pPr>
            <w:r>
              <w:t>
                <w:p>
                  <w:pPr>
                    <w:ind w:left="-284" w:right="-427"/>
                    <w:jc w:val="both"/>
                    <w:rPr>
                      <w:rFonts/>
                      <w:color w:val="262626" w:themeColor="text1" w:themeTint="D9"/>
                    </w:rPr>
                  </w:pPr>
                  <w:r>
                    <w:t>Sustracción de inventarios.</w:t>
                  </w:r>
                </w:p>
              </w:t>
            </w:r>
          </w:p>
          <w:p>
            <w:pPr>
              <w:ind w:left="-284" w:right="-427"/>
              <w:jc w:val="both"/>
              <w:rPr>
                <w:rFonts/>
                <w:color w:val="262626" w:themeColor="text1" w:themeTint="D9"/>
              </w:rPr>
            </w:pPr>
            <w:r>
              <w:t>
                <w:p>
                  <w:pPr>
                    <w:ind w:left="-284" w:right="-427"/>
                    <w:jc w:val="both"/>
                    <w:rPr>
                      <w:rFonts/>
                      <w:color w:val="262626" w:themeColor="text1" w:themeTint="D9"/>
                    </w:rPr>
                  </w:pPr>
                  <w:r>
                    <w:t>Disposición de bienes que le son asignados para su uso.</w:t>
                  </w:r>
                </w:p>
              </w:t>
            </w:r>
          </w:p>
          <w:p>
            <w:pPr>
              <w:ind w:left="-284" w:right="-427"/>
              <w:jc w:val="both"/>
              <w:rPr>
                <w:rFonts/>
                <w:color w:val="262626" w:themeColor="text1" w:themeTint="D9"/>
              </w:rPr>
            </w:pPr>
            <w:r>
              <w:t>
                <w:p>
                  <w:pPr>
                    <w:ind w:left="-284" w:right="-427"/>
                    <w:jc w:val="both"/>
                    <w:rPr>
                      <w:rFonts/>
                      <w:color w:val="262626" w:themeColor="text1" w:themeTint="D9"/>
                    </w:rPr>
                  </w:pPr>
                  <w:r>
                    <w:t>Utilización de tarjetas de crédito para pago de gastos personales y reembolso de gastos ajenos a la empresa.</w:t>
                  </w:r>
                </w:p>
              </w:t>
            </w:r>
          </w:p>
          <w:p>
            <w:pPr>
              <w:ind w:left="-284" w:right="-427"/>
              <w:jc w:val="both"/>
              <w:rPr>
                <w:rFonts/>
                <w:color w:val="262626" w:themeColor="text1" w:themeTint="D9"/>
              </w:rPr>
            </w:pPr>
            <w:r>
              <w:t>
                <w:p>
                  <w:pPr>
                    <w:ind w:left="-284" w:right="-427"/>
                    <w:jc w:val="both"/>
                    <w:rPr>
                      <w:rFonts/>
                      <w:color w:val="262626" w:themeColor="text1" w:themeTint="D9"/>
                    </w:rPr>
                  </w:pPr>
                  <w:r>
                    <w:t>Venta de información confidencial</w:t>
                  </w:r>
                </w:p>
              </w:t>
            </w:r>
          </w:p>
          <w:p>
            <w:pPr>
              <w:ind w:left="-284" w:right="-427"/>
              <w:jc w:val="both"/>
              <w:rPr>
                <w:rFonts/>
                <w:color w:val="262626" w:themeColor="text1" w:themeTint="D9"/>
              </w:rPr>
            </w:pPr>
            <w:r>
              <w:t>
                <w:p>
                  <w:pPr>
                    <w:ind w:left="-284" w:right="-427"/>
                    <w:jc w:val="both"/>
                    <w:rPr>
                      <w:rFonts/>
                      <w:color w:val="262626" w:themeColor="text1" w:themeTint="D9"/>
                    </w:rPr>
                  </w:pPr>
                  <w:r>
                    <w:t>Contubernio con clientes/proveedores/terceros recibiendo beneficios en efectivo o especie.</w:t>
                  </w:r>
                </w:p>
              </w:t>
            </w:r>
          </w:p>
          <w:p>
            <w:pPr>
              <w:ind w:left="-284" w:right="-427"/>
              <w:jc w:val="both"/>
              <w:rPr>
                <w:rFonts/>
                <w:color w:val="262626" w:themeColor="text1" w:themeTint="D9"/>
              </w:rPr>
            </w:pPr>
            <w:r>
              <w:t>
                <w:p>
                  <w:pPr>
                    <w:ind w:left="-284" w:right="-427"/>
                    <w:jc w:val="both"/>
                    <w:rPr>
                      <w:rFonts/>
                      <w:color w:val="262626" w:themeColor="text1" w:themeTint="D9"/>
                    </w:rPr>
                  </w:pPr>
                  <w:r>
                    <w:t>Otorgamiento de bonificaciones y descuentos a clientes o deudores.</w:t>
                  </w:r>
                </w:p>
              </w:t>
            </w:r>
          </w:p>
          <w:p>
            <w:pPr>
              <w:ind w:left="-284" w:right="-427"/>
              <w:jc w:val="both"/>
              <w:rPr>
                <w:rFonts/>
                <w:color w:val="262626" w:themeColor="text1" w:themeTint="D9"/>
              </w:rPr>
            </w:pPr>
            <w:r>
              <w:t>
                <w:p>
                  <w:pPr>
                    <w:ind w:left="-284" w:right="-427"/>
                    <w:jc w:val="both"/>
                    <w:rPr>
                      <w:rFonts/>
                      <w:color w:val="262626" w:themeColor="text1" w:themeTint="D9"/>
                    </w:rPr>
                  </w:pPr>
                  <w:r>
                    <w:t>Estados financieros alterados, incompletos o con transacciones que corresponden a otros períodos. Transferencias electrónicas.</w:t>
                  </w:r>
                </w:p>
              </w:t>
            </w:r>
          </w:p>
          <w:p>
            <w:pPr>
              <w:ind w:left="-284" w:right="-427"/>
              <w:jc w:val="both"/>
              <w:rPr>
                <w:rFonts/>
                <w:color w:val="262626" w:themeColor="text1" w:themeTint="D9"/>
              </w:rPr>
            </w:pPr>
            <w:r>
              <w:t>
                <w:p>
                  <w:pPr>
                    <w:ind w:left="-284" w:right="-427"/>
                    <w:jc w:val="both"/>
                    <w:rPr>
                      <w:rFonts/>
                      <w:color w:val="262626" w:themeColor="text1" w:themeTint="D9"/>
                    </w:rPr>
                  </w:pPr>
                  <w:r>
                    <w:t>Falsificación de firmas en cheques.</w:t>
                  </w:r>
                </w:p>
              </w:t>
            </w:r>
          </w:p>
          <w:p>
            <w:pPr>
              <w:ind w:left="-284" w:right="-427"/>
              <w:jc w:val="both"/>
              <w:rPr>
                <w:rFonts/>
                <w:color w:val="262626" w:themeColor="text1" w:themeTint="D9"/>
              </w:rPr>
            </w:pPr>
            <w:r>
              <w:t>Los fraudes sean cual sean representa una afectación para las empresas, contar con un aliado experto como De la Paz, Costemalle DFK resulta la mejor opción para evitar este tipo de malas prácticas en las organizaciones y que crezcan como líderes dentro de su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gestion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https://www.mexicopress.com.mx/fraude-en-las-empresas-cuales-son-las-mas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