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06/07/2024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Galileo Financial Technologies supera los 150 millones de cuentas en el segundo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panorama, donde los productos financieros emergen y evolucionan frecuentemente, Galileo Financial Technologies celebra un hito significativo al superar los 150 millones de cuentas de usuarios finales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América Latina ha sido clave para el éxito de Galileo. La rápida adopción de soluciones financieras digitales en la región ha proporcionado el escenario perfecto para los productos de Galileo, impulsando a la compañía a nuevas alturas. Al final del primer trimestre, el segmento de la Plataforma Tecnológica de SoFi, que incluye los servicios bancarios centrales basados en la nube de Galileo y Technisys, informó de 151.0 millones de cuentas habilitadas, lo que representa un crecimiento interanual del 20 por ciento.</w:t>
            </w:r>
          </w:p>
          <w:p>
            <w:pPr>
              <w:ind w:left="-284" w:right="-427"/>
              <w:jc w:val="both"/>
              <w:rPr>
                <w:rFonts/>
                <w:color w:val="262626" w:themeColor="text1" w:themeTint="D9"/>
              </w:rPr>
            </w:pPr>
            <w:r>
              <w:t>Tory Jackson, Jefe de Desarrollo Comercial y Estrategia para América Latina en Galileo, destaca la importancia de la región: "América Latina es más que un mercado para nosotros; es donde encontramos el ritmo en innovación y liderazgo. Estamos encantados de ser parte de este dinámico panorama financiero, colaborando con algunas de las compañías más visionarias de la región".</w:t>
            </w:r>
          </w:p>
          <w:p>
            <w:pPr>
              <w:ind w:left="-284" w:right="-427"/>
              <w:jc w:val="both"/>
              <w:rPr>
                <w:rFonts/>
                <w:color w:val="262626" w:themeColor="text1" w:themeTint="D9"/>
              </w:rPr>
            </w:pPr>
            <w:r>
              <w:t>La robusta adopción de los servicios de Galileo en América Latina se debe al creciente apetito de la región por soluciones financieras digitales. La demanda de innovación en la región está impulsada por una población joven y de mente abierta, lo que lleva a los sistemas bancarios tradicionales a adoptar la innovación. Al mismo tiempo, las fintechs desafían el status quo y proponen soluciones innovadoras relevantes para las necesidades locales. Galileo está bien posicionado para capitalizar estas tendencias, mientras apoya a fintechs, instituciones financieras tradicionales y actores no financieros también.</w:t>
            </w:r>
          </w:p>
          <w:p>
            <w:pPr>
              <w:ind w:left="-284" w:right="-427"/>
              <w:jc w:val="both"/>
              <w:rPr>
                <w:rFonts/>
                <w:color w:val="262626" w:themeColor="text1" w:themeTint="D9"/>
              </w:rPr>
            </w:pPr>
            <w:r>
              <w:t>De cara al futuro, Galileo planea seguir avanzando en su segmento de Plataforma Tecnológica, ampliando su oferta de productos, mejorando su infraestructura tecnológica y explorando nuevas oportunidades de mercado tanto dentro como fuera de América Latina.</w:t>
            </w:r>
          </w:p>
          <w:p>
            <w:pPr>
              <w:ind w:left="-284" w:right="-427"/>
              <w:jc w:val="both"/>
              <w:rPr>
                <w:rFonts/>
                <w:color w:val="262626" w:themeColor="text1" w:themeTint="D9"/>
              </w:rPr>
            </w:pPr>
            <w:r>
              <w:t>En un mundo donde la tecnología financiera cambia rápidamente, Galileo Financial Technologies ha logrado mantener consistentemente su ventaja competitiva. Con una combinación de tecnología, talento, adquisiciones estratégicas y un enfoque proactivo hacia la innovación, Galileo es más que un pionero en tecnología financiera, es un catalizador para la transformación de los servicios financieros.</w:t>
            </w:r>
          </w:p>
          <w:p>
            <w:pPr>
              <w:ind w:left="-284" w:right="-427"/>
              <w:jc w:val="both"/>
              <w:rPr>
                <w:rFonts/>
                <w:color w:val="262626" w:themeColor="text1" w:themeTint="D9"/>
              </w:rPr>
            </w:pPr>
            <w:r>
              <w:t>Acerca de Galileo Financial TechnologiesGalileo Financial Technologies, LLC y algunas de sus afiliadas comprenden colectivamente una empresa de tecnología financiera propiedad de SoFi Technologies, Inc. (NASDAQ: SOFI) y operada de forma independiente por ella, que permite a fintechs, instituciones financieras y marcas emergentes y establecidas crear soluciones financieras diferenciadas que ofrecen servicios excepcionales y centrados en el cliente. Experiencias a través de API modernas y abiertas, la plataforma flexible, segura, escalable y totalmente integrada de Galileo impulsa la innovación en los pagos y los servicios financieros. Galileo, que cuenta con la confianza de los pesos pesados de la banca digital, los innovadores en etapa inicial y los clientes empresariales, admite la emisión de tarjetas de pago físicas y virtuales, el aprovisionamiento push móvil, productos financieros personalizados y diferenciados y más, en todas las industrias y geografías.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medios</w:t>
      </w:r>
    </w:p>
    <w:p w:rsidR="00AB63FE" w:rsidRDefault="00C31F72" w:rsidP="00AB63FE">
      <w:pPr>
        <w:pStyle w:val="Sinespaciado"/>
        <w:spacing w:line="276" w:lineRule="auto"/>
        <w:ind w:left="-284"/>
        <w:rPr>
          <w:rFonts w:ascii="Arial" w:hAnsi="Arial" w:cs="Arial"/>
        </w:rPr>
      </w:pPr>
      <w:r>
        <w:rPr>
          <w:rFonts w:ascii="Arial" w:hAnsi="Arial" w:cs="Arial"/>
        </w:rPr>
        <w:t>+525544884729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https://www.mexicopress.com.mx/galileo-financial-technologies-supera-los-150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Software Ciberseguridad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