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1056 el 31/07/2014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Softland presentó los resultados del primer semestre 2014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incorporó 683 clientes, creció un 21% en facturación en comparación con el año anterior con muy buenas perspectivas para el segundo semestre en América latina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28 de julio de 2014 – Grupo Softland, compañía que cuenta con más de 30 años ofreciendo soluciones de software de gestión ERP a las empresas en Latinoamérica, presentó los resultados correspondientes al primer semestre 2014. Sobresale el crecimiento de facturación del 20% y la incorporación de cerca de 700 nuevos clientes a nivel regional.</w:t>
            </w:r>
          </w:p>
          <w:p>
            <w:pPr>
              <w:ind w:left="-284" w:right="-427"/>
              <w:jc w:val="both"/>
              <w:rPr>
                <w:rFonts/>
                <w:color w:val="262626" w:themeColor="text1" w:themeTint="D9"/>
              </w:rPr>
            </w:pPr>
            <w:r>
              <w:t> </w:t>
            </w:r>
          </w:p>
          <w:p>
            <w:pPr>
              <w:ind w:left="-284" w:right="-427"/>
              <w:jc w:val="both"/>
              <w:rPr>
                <w:rFonts/>
                <w:color w:val="262626" w:themeColor="text1" w:themeTint="D9"/>
              </w:rPr>
            </w:pPr>
            <w:r>
              <w:t>Durante la primera mitad del año se destaca el aumento en la facturación de las filiales de Colombia con crecimientos superiores al 88%, Argentina 50% y Centro América y Caribe con un 20%. Por su parte la filial chilena alcanzó un crecimiento del 10% respecto del mismo periodo de 2013.</w:t>
            </w:r>
          </w:p>
          <w:p>
            <w:pPr>
              <w:ind w:left="-284" w:right="-427"/>
              <w:jc w:val="both"/>
              <w:rPr>
                <w:rFonts/>
                <w:color w:val="262626" w:themeColor="text1" w:themeTint="D9"/>
              </w:rPr>
            </w:pPr>
            <w:r>
              <w:t> </w:t>
            </w:r>
          </w:p>
          <w:p>
            <w:pPr>
              <w:ind w:left="-284" w:right="-427"/>
              <w:jc w:val="both"/>
              <w:rPr>
                <w:rFonts/>
                <w:color w:val="262626" w:themeColor="text1" w:themeTint="D9"/>
              </w:rPr>
            </w:pPr>
            <w:r>
              <w:t>Durante este semestre se presentó la nueva versión de Softland Cloud para México, Centroamérica, Caribe y Colombia, que permite al usuario acceder a su solución de negocios Softland ERP bajo un catálogo estandarizado y responder de esta forma a las necesidades de las empresas de acceder al sistema a través de Internet con un modelo de suscripción.</w:t>
            </w:r>
          </w:p>
          <w:p>
            <w:pPr>
              <w:ind w:left="-284" w:right="-427"/>
              <w:jc w:val="both"/>
              <w:rPr>
                <w:rFonts/>
                <w:color w:val="262626" w:themeColor="text1" w:themeTint="D9"/>
              </w:rPr>
            </w:pPr>
            <w:r>
              <w:t> </w:t>
            </w:r>
          </w:p>
          <w:p>
            <w:pPr>
              <w:ind w:left="-284" w:right="-427"/>
              <w:jc w:val="both"/>
              <w:rPr>
                <w:rFonts/>
                <w:color w:val="262626" w:themeColor="text1" w:themeTint="D9"/>
              </w:rPr>
            </w:pPr>
            <w:r>
              <w:t>La compañía sigue enfocada en su política de expansión regional invirtiendo en: proyectos de I and D orientados a la flexibilidad y actualización de sus aplicaciones, en su solución Cloud y en su producto multipaís denominado Softland Corporate, el mismo tiene  especial énfasis en aplicaciones orientadas a  la usabilidad y la movilidad como palancas para la mejora y el crecimiento del negocio de los clientes.</w:t>
            </w:r>
          </w:p>
          <w:p>
            <w:pPr>
              <w:ind w:left="-284" w:right="-427"/>
              <w:jc w:val="both"/>
              <w:rPr>
                <w:rFonts/>
                <w:color w:val="262626" w:themeColor="text1" w:themeTint="D9"/>
              </w:rPr>
            </w:pPr>
            <w:r>
              <w:t> </w:t>
            </w:r>
          </w:p>
          <w:p>
            <w:pPr>
              <w:ind w:left="-284" w:right="-427"/>
              <w:jc w:val="both"/>
              <w:rPr>
                <w:rFonts/>
                <w:color w:val="262626" w:themeColor="text1" w:themeTint="D9"/>
              </w:rPr>
            </w:pPr>
            <w:r>
              <w:t>“Nuestro objetivo es mejorar la experiencia de nuestros clientes en todos los momentos en el que se precisa de una respuesta oportuna y a tiempo. Se trata de lo que llamamos ‘momentos de la verdad’ en los cuales ponemos todos nuestros esfuerzos para que ninguna de las necesidades de los clientes quede sin resolver”, sostuvo Oscar Sáez de Bergia, Vicepresidente Corporativo de Grupo Softland.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 Cross Company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https://www.mexicopress.com.mx/grupo-softland-presento-los-resultados-del-primer-semestre-2014</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