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17/06/2024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Impacto en e-comerce y empresas de paquetería, SAT ajusta impuestos por De la Paz Costemalle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SAT ha anunciado recientemente cambios significativos en las reglas de comercio exterior. Buscan fortalecer el control y la fiscalización de las operaciones de importación y exportación. Pretende combatir la evasión fiscal y el contrabando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de Administración Tributaria (SAT) ha anunciado recientemente cambios significativos en las reglas de comercio exterior, lo que tendrá un impacto directo en las plataformas de comercio electrónico y empresas de paquetería que operan en México.</w:t>
            </w:r>
          </w:p>
          <w:p>
            <w:pPr>
              <w:ind w:left="-284" w:right="-427"/>
              <w:jc w:val="both"/>
              <w:rPr>
                <w:rFonts/>
                <w:color w:val="262626" w:themeColor="text1" w:themeTint="D9"/>
              </w:rPr>
            </w:pPr>
            <w:r>
              <w:t>Estas modificaciones buscan fortalecer el control y la fiscalización de las operaciones de importación y exportación, así como combatir la evasión fiscal y el contrabando.</w:t>
            </w:r>
          </w:p>
          <w:p>
            <w:pPr>
              <w:ind w:left="-284" w:right="-427"/>
              <w:jc w:val="both"/>
              <w:rPr>
                <w:rFonts/>
                <w:color w:val="262626" w:themeColor="text1" w:themeTint="D9"/>
              </w:rPr>
            </w:pPr>
            <w:r>
              <w:t>Una de las principales implicaciones de estos cambios es que las plataformas de comercio electrónico tendrán que adaptarse a nuevas obligaciones fiscales y aduaneras. En De la Paz Costemalle DFK saben que este tipo de actualizaciones o modificaciones impactan directamente a las empresas y su economía.</w:t>
            </w:r>
          </w:p>
          <w:p>
            <w:pPr>
              <w:ind w:left="-284" w:right="-427"/>
              <w:jc w:val="both"/>
              <w:rPr>
                <w:rFonts/>
                <w:color w:val="262626" w:themeColor="text1" w:themeTint="D9"/>
              </w:rPr>
            </w:pPr>
            <w:r>
              <w:t>Lo más común, de acuerdo con el comportamiento que se ha visto en la autoridad, es: aumento de los costos operativos y en la necesidad de implementar sistemas más sofisticados para el cumplimiento de las nuevas regulaciones.</w:t>
            </w:r>
          </w:p>
          <w:p>
            <w:pPr>
              <w:ind w:left="-284" w:right="-427"/>
              <w:jc w:val="both"/>
              <w:rPr>
                <w:rFonts/>
                <w:color w:val="262626" w:themeColor="text1" w:themeTint="D9"/>
              </w:rPr>
            </w:pPr>
            <w:r>
              <w:t>Asimismo, es probable que se requiera una mayor colaboración con las autoridades aduaneras para garantizar el cumplimiento de las normativas vigentes. Es aquí en donde las empresas especialistas en estrategias fiscales cobran valor e importancia en el sector.</w:t>
            </w:r>
          </w:p>
          <w:p>
            <w:pPr>
              <w:ind w:left="-284" w:right="-427"/>
              <w:jc w:val="both"/>
              <w:rPr>
                <w:rFonts/>
                <w:color w:val="262626" w:themeColor="text1" w:themeTint="D9"/>
              </w:rPr>
            </w:pPr>
            <w:r>
              <w:t>Por otro lado, las empresas de paquetería también se verán afectadas por estas modificaciones, ya que tendrán que ajustar sus procesos logísticos y de distribución para cumplir con las nuevas disposiciones del SAT.</w:t>
            </w:r>
          </w:p>
          <w:p>
            <w:pPr>
              <w:ind w:left="-284" w:right="-427"/>
              <w:jc w:val="both"/>
              <w:rPr>
                <w:rFonts/>
                <w:color w:val="262626" w:themeColor="text1" w:themeTint="D9"/>
              </w:rPr>
            </w:pPr>
            <w:r>
              <w:t>Esto podría implicar retrasos en la entrega de mercancías, un aumento en los tiempos de despacho aduanero y una mayor complejidad en la gestión de los envíos internacionales.</w:t>
            </w:r>
          </w:p>
          <w:p>
            <w:pPr>
              <w:ind w:left="-284" w:right="-427"/>
              <w:jc w:val="both"/>
              <w:rPr>
                <w:rFonts/>
                <w:color w:val="262626" w:themeColor="text1" w:themeTint="D9"/>
              </w:rPr>
            </w:pPr>
            <w:r>
              <w:t>Las empresas de logística y paquetería podrían tener un impacto negativo importante debido a los tiempos que estas nuevas normas "puedan representar en retrasos para que la mercancía llegue a sus clientes, y por ende enojo en los mismos, y perdidas económicas por lo que será muy importan contar con un aliado como De la Paz, Costemalle DFK para tener lista una estrategia de acción".</w:t>
            </w:r>
          </w:p>
          <w:p>
            <w:pPr>
              <w:ind w:left="-284" w:right="-427"/>
              <w:jc w:val="both"/>
              <w:rPr>
                <w:rFonts/>
                <w:color w:val="262626" w:themeColor="text1" w:themeTint="D9"/>
              </w:rPr>
            </w:pPr>
            <w:r>
              <w:t>Los cambios en las reglas de comercio exterior del SAT representan un desafío para las plataformas de comercio electrónico y empresas de paquetería, que deberán adaptarse rápidamente a las nuevas exigencias para mantener su competitividad en el mercado.</w:t>
            </w:r>
          </w:p>
          <w:p>
            <w:pPr>
              <w:ind w:left="-284" w:right="-427"/>
              <w:jc w:val="both"/>
              <w:rPr>
                <w:rFonts/>
                <w:color w:val="262626" w:themeColor="text1" w:themeTint="D9"/>
              </w:rPr>
            </w:pPr>
            <w:r>
              <w:t>Es fundamental que estas organizaciones estén al tanto de las actualizaciones normativas y busquen asesoramiento especializado para garantizar su cumplimiento y evitar posibles sanciones.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 </w:t>
      </w:r>
    </w:p>
    <w:p w:rsidR="00C31F72" w:rsidRDefault="00C31F72" w:rsidP="00AB63FE">
      <w:pPr>
        <w:pStyle w:val="Sinespaciado"/>
        <w:spacing w:line="276" w:lineRule="auto"/>
        <w:ind w:left="-284"/>
        <w:rPr>
          <w:rFonts w:ascii="Arial" w:hAnsi="Arial" w:cs="Arial"/>
        </w:rPr>
      </w:pPr>
      <w:r>
        <w:rPr>
          <w:rFonts w:ascii="Arial" w:hAnsi="Arial" w:cs="Arial"/>
        </w:rPr>
        <w:t>IDEC</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https://www.mexicopress.com.mx/impacto-en-e-comerce-y-empresas-de-paqueteria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Estado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