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Méx el 23/01/2024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Inauguran Sala Vinte en el AIFA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Sala Vinte del AIFA brindará información sobre sus proyectos habitacionales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Aeropuerto Internacional Felipe Ángeles (AIFA) se llevó a cabo la inauguración de la Sala Vinte, que tiene como objetivo brindar información sobre los catorce proyectos habitacionales que la desarrolladora tiene ubicados en Tecámac, Pachuca, Atotonilco de Tula, Puebla, Querétaro, Cancún, Playa del Carmen y Apodaca.</w:t>
            </w:r>
          </w:p>
          <w:p>
            <w:pPr>
              <w:ind w:left="-284" w:right="-427"/>
              <w:jc w:val="both"/>
              <w:rPr>
                <w:rFonts/>
                <w:color w:val="262626" w:themeColor="text1" w:themeTint="D9"/>
              </w:rPr>
            </w:pPr>
            <w:r>
              <w:t>"Este nuevo punto servirá para atender a todas las familias de la zona, para que adquieran un patrimonio de valor en algunos de nuestros desarrollos Vinte; el AIFA está estratégicamente ubicado y observamos un gran impulso en materia de infraestructura y potencial del nearshoring; además, Vinte tiene dos proyectos importantes en Tecámac, los cuales son Real Granada y Real Alcalá", destacó Sergio Leal, Presidente de Vinte.</w:t>
            </w:r>
          </w:p>
          <w:p>
            <w:pPr>
              <w:ind w:left="-284" w:right="-427"/>
              <w:jc w:val="both"/>
              <w:rPr>
                <w:rFonts/>
                <w:color w:val="262626" w:themeColor="text1" w:themeTint="D9"/>
              </w:rPr>
            </w:pPr>
            <w:r>
              <w:t>En la ceremonia de corte de listón estuvieron presentes Carlos Martínez Velázquez, Director General del Instituto del Fondo Nacional de la Vivienda para los Trabajadores (Infonavit), Sergio Leal, Presidente del Consejo de Administración de Vinte, y Dayra Vergara Vargas, Delegada Regional del Infonavit en el Estado de México, entre otros invitados más.</w:t>
            </w:r>
          </w:p>
          <w:p>
            <w:pPr>
              <w:ind w:left="-284" w:right="-427"/>
              <w:jc w:val="both"/>
              <w:rPr>
                <w:rFonts/>
                <w:color w:val="262626" w:themeColor="text1" w:themeTint="D9"/>
              </w:rPr>
            </w:pPr>
            <w:r>
              <w:t>La Sala Vinte se encuentra ubicada frente al Centro de Servicio Infonavit, el cual, y a su vez, atenderá a más de 291 mil trabajadores que habitan en 22 diferentes municipios de la zona, y que provienen principalmente de Tecámac, Tultitlán, Zumpango, Cuautitlán y Naucalpan.</w:t>
            </w:r>
          </w:p>
          <w:p>
            <w:pPr>
              <w:ind w:left="-284" w:right="-427"/>
              <w:jc w:val="both"/>
              <w:rPr>
                <w:rFonts/>
                <w:color w:val="262626" w:themeColor="text1" w:themeTint="D9"/>
              </w:rPr>
            </w:pPr>
            <w:r>
              <w:t>En Tecámac, la desarrolladora Vinte cuenta con dos proyectos importantes; Real Granada (ubicado a 15 minutos del AIFA) y Real Alcalá Sur (en Ojo de Agua), desarrollos que ofrecen viviendas en privadas, con parques, ciclopistas, comercios, dog parks, en algunos casos escuelas, y casa club con alberca y gimnasio. Además, ambos proyectos cuentan con las mejores prácticas en temas sustentables y con la certificación EDGE.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RRPP</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https://www.mexicopress.com.mx/inauguran-sala-vinte-en-el-aifa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