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19/04/2018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Inmobiliaria CADU reporta crecimientos al 1er trimestre de 2018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CADU, generó en el período un flujo libre de efectivo positivo por 76 millones de pesos, dando la voltereta a los resultados obtenidos en el mismo periodo del año anterior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Corpovael S.A.B. de C.V., “CADU”, dio a conocer sus resultados correspondientes al 1T 2018, entre los que destacan: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Ingresos Totales por 705 millones de pesos; Utilidad Neta por 107 millones de pesos y Utilidad antes de Intereses, Impuestos, Depreciaciones y Amortizaciones (UAFIDA) por 156 millones de pesos, lo que representa un crecimiento de 14.2%, 18.6% y 11.6% respectivamente, en comparación con el 1T 2017.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 “CADU” generó en el periodo un flujo libre de efectivo positivo por 76 millones de pesos, dando la voltereta a los resultados registrados en el mismo período del año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mensaje a inversionistas Pedro Vaca Elguero, Presidente del Consejo y Director General de “CADU”, comentó la exitosa colocación de su Certificado Bursátil “CADU 18” por 500 millones de pesos, realizada en febrero pasado y señaló que uno de los aspectos más importantes para la empresa en este 2018, será mantener niveles adecuados de liquidez, ya que esto permitirá, enfrentar escenarios adversos o bien, aprovechar nuevas oportunidades de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CADUCorpovael, S.A.B. de C.V. “CADU” (BMV: CADUA) es un grupo empresarial líder dedicado al desarrollo de vivienda de interés social, media y media-residencial en México. CADU cuenta con una exitosa trayectoria de más de una década en el sector vivienda, donde ha fundamentado un exitoso modelo de negocios a través de la búsqueda de una alta y sostenida rentabilidad; apuntalando su ventaja competitiva en una operación verticalmente integrada (desarrollando actividades de adquisición de terrenos, urbanización, edificación y comercialización), en plazas donde ha identificado una alta y desatendida demanda potencial de vivienda. Opera, principalmente, en Quintana Roo, Valle de México y Jalisco.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 SC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https://www.mexicopress.com.mx/inmobiliaria-cadu-reporta-crecimientos-al-1er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Finanzas Recursos humanos Ciudad de México Construcción y Materiales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