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 NetApp en sus productos para enfrentar los costes e incrementar los objetivos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se compromete a reducir en un 50% la intensidad de las emisiones de gases de efecto invernadero (GEI) de alcance 3 y a establecer un objetivo de alcance 1 y 2 alineado con la ciencia para 2030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NetApp®, compañía global de software centrada en datos y orientada a la nube, ha anunciado la disponibilidad de nuevas formas para que las empresas gestionen y optimicen su huella de carbono en sus entornos híbridos y multi-nube. La compañía destacó su compromiso de lograr una reducción del 50% en las emisiones de gases de efecto invernadero (GEI) de Alcance 3 (producidas por la cadena de valor de una organización) para 2030, y una disminución del 42% de las emisiones de GEI de Alcance 1 (controladas o propiedad de una organización) y Alcance 2 (compras de electricidad, calor y refrigeración) mediante la adopción de un objetivo alineado con la ciencia.</w:t>
            </w:r>
          </w:p>
          <w:p>
            <w:pPr>
              <w:ind w:left="-284" w:right="-427"/>
              <w:jc w:val="both"/>
              <w:rPr>
                <w:rFonts/>
                <w:color w:val="262626" w:themeColor="text1" w:themeTint="D9"/>
              </w:rPr>
            </w:pPr>
            <w:r>
              <w:t>"Se expandirán las prácticas sostenibles dentro del negocio, estableciendo un objetivo ambicioso, pero alcanzable, de reducción del 50% de la intensidad de las emisiones de gases de efecto invernadero de alcance 3 para 2030." afirma George Kurian, CEO de NetApp. Con las nuevas herramientas anunciadas en NetApp INSIGHT, las organizaciones pueden alcanzar sus objetivos de reducción de carbono, al tiempo que satisfacen las demandas de sus clientes:</w:t>
            </w:r>
          </w:p>
          <w:p>
            <w:pPr>
              <w:ind w:left="-284" w:right="-427"/>
              <w:jc w:val="both"/>
              <w:rPr>
                <w:rFonts/>
                <w:color w:val="262626" w:themeColor="text1" w:themeTint="D9"/>
              </w:rPr>
            </w:pPr>
            <w:r>
              <w:t>· NetApp BlueXP ofrece una experiencia unificada a través de entornos híbridos multi-nube para tener todos los servicios en un único panel de control.</w:t>
            </w:r>
          </w:p>
          <w:p>
            <w:pPr>
              <w:ind w:left="-284" w:right="-427"/>
              <w:jc w:val="both"/>
              <w:rPr>
                <w:rFonts/>
                <w:color w:val="262626" w:themeColor="text1" w:themeTint="D9"/>
              </w:rPr>
            </w:pPr>
            <w:r>
              <w:t>· NetApp Cloud Insights Dashboard informa sobre el uso de la energía y la temperatura del almacenamiento ONTAP.</w:t>
            </w:r>
          </w:p>
          <w:p>
            <w:pPr>
              <w:ind w:left="-284" w:right="-427"/>
              <w:jc w:val="both"/>
              <w:rPr>
                <w:rFonts/>
                <w:color w:val="262626" w:themeColor="text1" w:themeTint="D9"/>
              </w:rPr>
            </w:pPr>
            <w:r>
              <w:t>· Informes del impacto sobre la huella de carbono a lo largo del Ciclo de Vida (LCA) que aprovechan la metodología del Algoritmo de Impacto de Atributos del Producto (PAIA).</w:t>
            </w:r>
          </w:p>
          <w:p>
            <w:pPr>
              <w:ind w:left="-284" w:right="-427"/>
              <w:jc w:val="both"/>
              <w:rPr>
                <w:rFonts/>
                <w:color w:val="262626" w:themeColor="text1" w:themeTint="D9"/>
              </w:rPr>
            </w:pPr>
            <w:r>
              <w:t>· La garantía de eficiencia de almacenamiento 4:1 las empresas pueden almacenar más datos con menos almacenamiento, lo que reduce el uso de energía y las emisiones de gases de efecto invernadero. La garantía cubre todos los sistemas all-flash de ONTAP, incluidos AFF A-Series, AFF C190, All SAN Array y FAS500f.</w:t>
            </w:r>
          </w:p>
          <w:p>
            <w:pPr>
              <w:ind w:left="-284" w:right="-427"/>
              <w:jc w:val="both"/>
              <w:rPr>
                <w:rFonts/>
                <w:color w:val="262626" w:themeColor="text1" w:themeTint="D9"/>
              </w:rPr>
            </w:pPr>
            <w:r>
              <w:t>· Cloud Tiering permite a las empresas trasladar los datos que se utilizan con poca frecuencia, a menudo el 60% o más del total de datos.</w:t>
            </w:r>
          </w:p>
          <w:p>
            <w:pPr>
              <w:ind w:left="-284" w:right="-427"/>
              <w:jc w:val="both"/>
              <w:rPr>
                <w:rFonts/>
                <w:color w:val="262626" w:themeColor="text1" w:themeTint="D9"/>
              </w:rPr>
            </w:pPr>
            <w:r>
              <w:t>· Cloud Data Sense solución de clasificación y catálogo de datos que utiliza la inteligencia artificial para mapear y clasificar todos los datos locales y en la nube.</w:t>
            </w:r>
          </w:p>
          <w:p>
            <w:pPr>
              <w:ind w:left="-284" w:right="-427"/>
              <w:jc w:val="both"/>
              <w:rPr>
                <w:rFonts/>
                <w:color w:val="262626" w:themeColor="text1" w:themeTint="D9"/>
              </w:rPr>
            </w:pPr>
            <w:r>
              <w:t>· Active IQ (AIQ) motor de AIOps que calcula el Coste Total de Propiedad (TCO) de los datos de uso y acceso frecuente almacenados en las instalaciones, y la herramienta TCO de Cloud Tiering de NetApp calcula el ahorro generado por la migración a la nube.</w:t>
            </w:r>
          </w:p>
          <w:p>
            <w:pPr>
              <w:ind w:left="-284" w:right="-427"/>
              <w:jc w:val="both"/>
              <w:rPr>
                <w:rFonts/>
                <w:color w:val="262626" w:themeColor="text1" w:themeTint="D9"/>
              </w:rPr>
            </w:pPr>
            <w:r>
              <w:t>· NetApp Harvest 2.0 y Grafana Dashboard para ONTAP proporcionan información en tiempo real sobre el consumo de energía del hardware de NetApp, mientras que NetApp Fusion, una herramienta de dimensionamiento y configuración, proporciona especificaciones medioambientales para cada configuración.</w:t>
            </w:r>
          </w:p>
          <w:p>
            <w:pPr>
              <w:ind w:left="-284" w:right="-427"/>
              <w:jc w:val="both"/>
              <w:rPr>
                <w:rFonts/>
                <w:color w:val="262626" w:themeColor="text1" w:themeTint="D9"/>
              </w:rPr>
            </w:pPr>
            <w:r>
              <w:t>"El compromiso continuo de NetApp con la innovación en los productos, combinado con los esfuerzos de descarbonización de la compañía, proporcionan a las organizaciones las herramientas que necesitan para reducir los costes, ejecutar operaciones más eficientes y permitir la toma de decisiones basadas en las emisiones, con el fin de alcanzar sus propios objetivos de sostenibilidad." señala César Cernuda, Presidente de NetApp.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Lemus</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5555117960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https://www.mexicopress.com.mx/innova-netapp-en-sus-productos-para-enfrentar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Ciberseguridad Ciudad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