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30/11/2012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Inversión de la Corporación Andina de Fomento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Inversión de la Corporación Andina de Fomento (CAF) en el fondo de fondos, para el desarrollo de Capital Privado en México. CAF invertirá $40 millones de dólares en el Fondo de Fondos México II para impulsar a empresas en crecimiento.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Corporación Andina de Fomento (CAF), suscribió su participación de 40 millones de dólares en el Fondo de Fondos México II, vehículo de la Corporación Mexicana de Inversiones de Capital, S.A. de C.V.- CMIC, en la que participan Nacional Financiera, Bancomext, Banobras y FOCIR con la misión de desarrollar la industria del capital privado en México.</w:t>
            </w:r>
          </w:p>
          <w:p>
            <w:pPr>
              <w:ind w:left="-284" w:right="-427"/>
              <w:jc w:val="both"/>
              <w:rPr>
                <w:rFonts/>
                <w:color w:val="262626" w:themeColor="text1" w:themeTint="D9"/>
              </w:rPr>
            </w:pPr>
            <w:r>
              <w:t>	La suscripción de la aportación se realizó durante la visita del Presidente del CAF, Enrique García, quien desahogó una agenda de trabajo para participar en la inversión patrimonial en  tres fondos de inversión  mexicanos destinados a promover las Pymes, en alianza estratégica con la Secretaría de Hacienda y Crédito Público, Nafinsa y otros bancos de desarrollo de México.</w:t>
            </w:r>
          </w:p>
          <w:p>
            <w:pPr>
              <w:ind w:left="-284" w:right="-427"/>
              <w:jc w:val="both"/>
              <w:rPr>
                <w:rFonts/>
                <w:color w:val="262626" w:themeColor="text1" w:themeTint="D9"/>
              </w:rPr>
            </w:pPr>
            <w:r>
              <w:t>	Los fondos receptores son Fondo de Fondos México II, Adobe Social Mezzanine Fund y el Fondo Evercore México Capital Partners III. Desde hace 18 años, México, a través de su banca de desarrollo,  impulsa una política de estado de promoción de temas de emprendimiento, capital de riesgo y PyMES, sectores en los cuales CAF posee una larga trayectoria y experiencia en los países de América Latina.</w:t>
            </w:r>
          </w:p>
          <w:p>
            <w:pPr>
              <w:ind w:left="-284" w:right="-427"/>
              <w:jc w:val="both"/>
              <w:rPr>
                <w:rFonts/>
                <w:color w:val="262626" w:themeColor="text1" w:themeTint="D9"/>
              </w:rPr>
            </w:pPr>
            <w:r>
              <w:t>	Artículo publicado en Nacional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Nacional Financiera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https://www.mexicopress.com.mx/inversion-de-la-corporacion-andina-de-fomento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