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América Latina el 28/11/2023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6 predicciones de DigiCert sobre la confianza digital en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principales predicciones se centran en el impacto sísmico de la inteligencia artificial y la criptografía poscuántica en el panorama de la ciberseguridad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DigiCert reveló sus principales predicciones estratégicas para 2024, detallando las tendencias clave en confianza digital durante el próximo año. Estas predicciones subrayan la importancia emergente de la confianza en el contenido, las cadenas de suministro de software y los dispositivos, la necesidad de planificar la transición a la criptografía cuántica segura y el papel emergente del Director de Confianza Digital para vincular las inversiones fiduciarias con los objetivos y resultados comerciales.</w:t>
            </w:r>
          </w:p>
          <w:p>
            <w:pPr>
              <w:ind w:left="-284" w:right="-427"/>
              <w:jc w:val="both"/>
              <w:rPr>
                <w:rFonts/>
                <w:color w:val="262626" w:themeColor="text1" w:themeTint="D9"/>
              </w:rPr>
            </w:pPr>
            <w:r>
              <w:t>"En 2024, veremos cambios tectónicos en la ciberseguridad debido al impacto de la inteligencia artificial en la adaptabilidad y velocidad de los ciberataques, y en la identidad y procedencia", afirmó Amit Sinha, director ejecutivo de DigiCert. "Esto también ocurre en un momento en el que las empresas comenzarán a hacer la transición de su criptografía a algoritmos cuánticos seguros. La intersección de estas dos tendencias hace que sea necesario invertir más en la confianza, para asegurar las interacciones con contenidos, software y dispositivos en los negocios y en nuestra vida personal", agregó el ejecutivo.</w:t>
            </w:r>
          </w:p>
          <w:p>
            <w:pPr>
              <w:ind w:left="-284" w:right="-427"/>
              <w:jc w:val="both"/>
              <w:rPr>
                <w:rFonts/>
                <w:color w:val="262626" w:themeColor="text1" w:themeTint="D9"/>
              </w:rPr>
            </w:pPr>
            <w:r>
              <w:t>Predicción 1Los altos ejecutivos adquirirán más conocimientos sobre la computación poscuántica y las empresas comenzarán a acelerar sus inversiones.</w:t>
            </w:r>
          </w:p>
          <w:p>
            <w:pPr>
              <w:ind w:left="-284" w:right="-427"/>
              <w:jc w:val="both"/>
              <w:rPr>
                <w:rFonts/>
                <w:color w:val="262626" w:themeColor="text1" w:themeTint="D9"/>
              </w:rPr>
            </w:pPr>
            <w:r>
              <w:t>Una encuesta reciente del Ponemon Institute sobre PQC reveló que, si bien la mayoría de los líderes de TI están preocupados por el riesgo de ataques cibernéticos de tipo "cosechar ahora, descifrar después", los ejecutivos de negocios aún no son conscientes de las implicaciones actuales de la computación cuántica. También reveló que la mayoría de las organizaciones carecen de claridad en la propiedad, el presupuesto y la estrategia para la preparación del PQC. En 2024, las actividades de educación y planificación acelerarán la inversión en esta área.</w:t>
            </w:r>
          </w:p>
          <w:p>
            <w:pPr>
              <w:ind w:left="-284" w:right="-427"/>
              <w:jc w:val="both"/>
              <w:rPr>
                <w:rFonts/>
                <w:color w:val="262626" w:themeColor="text1" w:themeTint="D9"/>
              </w:rPr>
            </w:pPr>
            <w:r>
              <w:t>Predicción 2La identidad y la procedencia se convierten en la base de la autenticidad del contenido.</w:t>
            </w:r>
          </w:p>
          <w:p>
            <w:pPr>
              <w:ind w:left="-284" w:right="-427"/>
              <w:jc w:val="both"/>
              <w:rPr>
                <w:rFonts/>
                <w:color w:val="262626" w:themeColor="text1" w:themeTint="D9"/>
              </w:rPr>
            </w:pPr>
            <w:r>
              <w:t>La temporada electoral en países como Estados Unidos pondrá esta cuestión en primer plano. La identidad verificada se convertirá en la base acerca de cómo se puede confiar en la fuente y la autenticidad del contenido. Las empresas comenzarán a explorar formas en las que la identidad digital pueda establecerse una vez, sin requerir comprobaciones adicionales cada vez que se aplique.</w:t>
            </w:r>
          </w:p>
          <w:p>
            <w:pPr>
              <w:ind w:left="-284" w:right="-427"/>
              <w:jc w:val="both"/>
              <w:rPr>
                <w:rFonts/>
                <w:color w:val="262626" w:themeColor="text1" w:themeTint="D9"/>
              </w:rPr>
            </w:pPr>
            <w:r>
              <w:t>Predicción 3Las cadenas de suministro de software verán la confianza incorporada en los componentes básicos: inspeccionar antes de firmar, verificar los paquetes, proporcionar transparencia en la lista de materiales del software (SBOM).</w:t>
            </w:r>
          </w:p>
          <w:p>
            <w:pPr>
              <w:ind w:left="-284" w:right="-427"/>
              <w:jc w:val="both"/>
              <w:rPr>
                <w:rFonts/>
                <w:color w:val="262626" w:themeColor="text1" w:themeTint="D9"/>
              </w:rPr>
            </w:pPr>
            <w:r>
              <w:t>La cadena de suministro de software se volverá más sólida, con inspecciones en varios puntos de entrega. La composición del software integrado será más transparente con la creciente adopción de listas de materiales de software.</w:t>
            </w:r>
          </w:p>
          <w:p>
            <w:pPr>
              <w:ind w:left="-284" w:right="-427"/>
              <w:jc w:val="both"/>
              <w:rPr>
                <w:rFonts/>
                <w:color w:val="262626" w:themeColor="text1" w:themeTint="D9"/>
              </w:rPr>
            </w:pPr>
            <w:r>
              <w:t>Predicción 4IoT Trust permitirá casos de uso del mundo real, como cargadores de vehículos eléctricos y dispositivos médicos.</w:t>
            </w:r>
          </w:p>
          <w:p>
            <w:pPr>
              <w:ind w:left="-284" w:right="-427"/>
              <w:jc w:val="both"/>
              <w:rPr>
                <w:rFonts/>
                <w:color w:val="262626" w:themeColor="text1" w:themeTint="D9"/>
              </w:rPr>
            </w:pPr>
            <w:r>
              <w:t>Los dispositivos estarán cada vez más protegidos con controles operativos y de identidad para confirmar su autenticidad. Esto permitirá a las personas interactuar con dispositivos que respaldan la actividad diaria, sabiendo que su información está segura y que los dispositivos son resistentes a manipulaciones.</w:t>
            </w:r>
          </w:p>
          <w:p>
            <w:pPr>
              <w:ind w:left="-284" w:right="-427"/>
              <w:jc w:val="both"/>
              <w:rPr>
                <w:rFonts/>
                <w:color w:val="262626" w:themeColor="text1" w:themeTint="D9"/>
              </w:rPr>
            </w:pPr>
            <w:r>
              <w:t>Predicción 5Se verá a los Chief Digital Trust Officers surgir como participantes clave en el equipo ejecutivo que lidera el negocio.</w:t>
            </w:r>
          </w:p>
          <w:p>
            <w:pPr>
              <w:ind w:left="-284" w:right="-427"/>
              <w:jc w:val="both"/>
              <w:rPr>
                <w:rFonts/>
                <w:color w:val="262626" w:themeColor="text1" w:themeTint="D9"/>
              </w:rPr>
            </w:pPr>
            <w:r>
              <w:t>Los directores de confianza digital tendrán cada vez más un lugar en la mesa ejecutiva, vinculando la inversión y la estrategia de confianza digital con los resultados comerciales deseados. Esto se convertirá en un elemento fundamental de la resiliencia empresarial y la retención de clientes.</w:t>
            </w:r>
          </w:p>
          <w:p>
            <w:pPr>
              <w:ind w:left="-284" w:right="-427"/>
              <w:jc w:val="both"/>
              <w:rPr>
                <w:rFonts/>
                <w:color w:val="262626" w:themeColor="text1" w:themeTint="D9"/>
              </w:rPr>
            </w:pPr>
            <w:r>
              <w:t>Predicción 6La confianza cero como arquitectura proliferará. Su base se basará en la confianza digital.</w:t>
            </w:r>
          </w:p>
          <w:p>
            <w:pPr>
              <w:ind w:left="-284" w:right="-427"/>
              <w:jc w:val="both"/>
              <w:rPr>
                <w:rFonts/>
                <w:color w:val="262626" w:themeColor="text1" w:themeTint="D9"/>
              </w:rPr>
            </w:pPr>
            <w:r>
              <w:t>Las arquitecturas de "nunca confíes, siempre verifica" se volverán omnipresentes a través de la tecnología de la información, la seguridad de los productos y los ecosistemas de consumidores, reemplazando las redes y VPN que antes brindaban confianza implícita a sus usuarios. El uso de la autenticación mediada por certificados para brindar identidad, integridad y cifrado a las interacciones de aplicaciones y datos seguirá creciendo.</w:t>
            </w:r>
          </w:p>
          <w:p>
            <w:pPr>
              <w:ind w:left="-284" w:right="-427"/>
              <w:jc w:val="both"/>
              <w:rPr>
                <w:rFonts/>
                <w:color w:val="262626" w:themeColor="text1" w:themeTint="D9"/>
              </w:rPr>
            </w:pPr>
            <w:r>
              <w:t>Se puede consultar la lista completa de predicciones e información adicional en: De la IA a la confianza cero: las predicciones de DigiCert para 2024.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DigiCert Latam</w:t>
      </w:r>
    </w:p>
    <w:p w:rsidR="00C31F72" w:rsidRDefault="00C31F72" w:rsidP="00AB63FE">
      <w:pPr>
        <w:pStyle w:val="Sinespaciado"/>
        <w:spacing w:line="276" w:lineRule="auto"/>
        <w:ind w:left="-284"/>
        <w:rPr>
          <w:rFonts w:ascii="Arial" w:hAnsi="Arial" w:cs="Arial"/>
        </w:rPr>
      </w:pPr>
      <w:r>
        <w:rPr>
          <w:rFonts w:ascii="Arial" w:hAnsi="Arial" w:cs="Arial"/>
        </w:rPr>
        <w:t>Digicert Latam</w:t>
      </w:r>
    </w:p>
    <w:p w:rsidR="00AB63FE" w:rsidRDefault="00C31F72" w:rsidP="00AB63FE">
      <w:pPr>
        <w:pStyle w:val="Sinespaciado"/>
        <w:spacing w:line="276" w:lineRule="auto"/>
        <w:ind w:left="-284"/>
        <w:rPr>
          <w:rFonts w:ascii="Arial" w:hAnsi="Arial" w:cs="Arial"/>
        </w:rPr>
      </w:pPr>
      <w:r>
        <w:rPr>
          <w:rFonts w:ascii="Arial" w:hAnsi="Arial" w:cs="Arial"/>
        </w:rPr>
        <w:t>3125893314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https://www.mexicopress.com.mx/las-6-predicciones-de-digicert-sobre-la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Inteligencia Artificial y Robótica Software Ciberseguridad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