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 F. el 17/01/2017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fusiones y adquisiciones en América Latina se debilitan en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valor del capital privado y de riesgo apoyado por acuerdo brasileño. Zephyr informa sobre la actividad de fusiones y adquisiciones en América Latina en el año fiscal 2016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volumen y el valor de las fusiones y adquisiciones dirigidas a empresas con sede en América del Sur y Centroamérica, incluidos los paraísos fiscales, se redujeron a 2.245 transacciones por un total de 215.497 millones de dólares en comparación con 2.976 acuerdos por un total de 329.967 millones de dólares en 2015, de acuerdo con la información recopilada por base de datos líder en el mercado, Zephyr. El volumen y valor de las fusiones y adquisiciones en 2016 fue el más bajo registrado desde 2006 (2.145) y 2008 (215.264 millones de dólares), respectivamente.</w:t>
            </w:r>
          </w:p>
          <w:p>
            <w:pPr>
              <w:ind w:left="-284" w:right="-427"/>
              <w:jc w:val="both"/>
              <w:rPr>
                <w:rFonts/>
                <w:color w:val="262626" w:themeColor="text1" w:themeTint="D9"/>
              </w:rPr>
            </w:pPr>
            <w:r>
              <w:t>La mayor transacción en la región registrada en 2016 por Zephyr fue Sompo Holdings de Japón anunciando planes para tomar Endurance Specialty Holdings de Bermuda privado por 6.304 millones de dólares, en lo que se espera sea la mayor compra del grupo de accidentes hasta la fecha. Le siguió Petroleo Brasileiro vendiendo el 90 por ciento de su filial brasileña de distribución de gas natural, Nova Transportadora do Sudeste, por 5,194 millones de dólares a un grupo de inversionistas liderado por Brookfield Infrastructure Partners y que incluía a British Columbia Investment Management, CIC Capital y GIC. Estos fueron los dos únicos acuerdos latinoamericanos por un valor de más de 5.000 millones de dólares en 2016.</w:t>
            </w:r>
          </w:p>
          <w:p>
            <w:pPr>
              <w:ind w:left="-284" w:right="-427"/>
              <w:jc w:val="both"/>
              <w:rPr>
                <w:rFonts/>
                <w:color w:val="262626" w:themeColor="text1" w:themeTint="D9"/>
              </w:rPr>
            </w:pPr>
            <w:r>
              <w:t>Las empresas incorporadas en las Islas Caimán lideraron el camino tanto en volumen como en valor, aunque las 748 ofertas por valor de 68.987 millones de dólares registradas representaron una disminución de 863 ofertas por un valor de 116.310 millones de dólares en 2015. Brasil fue el país con el mejor desempeño fuera de los paraísos fiscales a pesar de que el valor total se redujo a 38.775 millones de dólares y el volumen a 294 ofertas.</w:t>
            </w:r>
          </w:p>
          <w:p>
            <w:pPr>
              <w:ind w:left="-284" w:right="-427"/>
              <w:jc w:val="both"/>
              <w:rPr>
                <w:rFonts/>
                <w:color w:val="262626" w:themeColor="text1" w:themeTint="D9"/>
              </w:rPr>
            </w:pPr>
            <w:r>
              <w:t>La base de datos de Zephyr muestra que, de acuerdo con el patrón de fusiones y adquisiciones, el capital privado y de capital de riesgo (PE y VC) cayó a 185 acuerdos por un total de 18.464 millones de dólares, lo que representa el menor volumen registrado desde 2009 (115 ofertas) y el valor más bajo desde 2010 (13.523 millones de dólares). En siete de las 20 mejores ofertas por valor de valor de PE y VC y que valían más de 1.000 millones de dólares, sólo dos valían 2.000 millones de dólares o más en 2016.Lisa Wright, directora de Zephyr, comentó:  and #39;Es decepcionante que después de dos años consecutivos de crecimiento, los valores de acuerdos de fusiones y adquisiciones anunciados cayeran en más de un tercio. Podría haber muchas razones que impulsaran el declive de la actividad de fusiones y adquisiciones en América Latina, incluyendo la agitación política y los escándalos de corrupción, así como la recesión y la caída de los precios de los productos básicos y el petróleo, que en última instancia disuadirían a los compradores o disminuirían su apetito por cerrar acuerdos. Sin embargo, vale la pena señalar que Zephyr muestra que las fusiones y adquisiciones latinoamericanas están en línea con la tendencia global de 2016, que no logró sostener los resultados récord de 2015. and #39;</w:t>
            </w:r>
          </w:p>
          <w:p>
            <w:pPr>
              <w:ind w:left="-284" w:right="-427"/>
              <w:jc w:val="both"/>
              <w:rPr>
                <w:rFonts/>
                <w:color w:val="262626" w:themeColor="text1" w:themeTint="D9"/>
              </w:rPr>
            </w:pPr>
            <w:r>
              <w:t>Lisa Wright, Directora de Zephyr Haga clic aquí para ver el informe</w:t>
            </w:r>
          </w:p>
          <w:p>
            <w:pPr>
              <w:ind w:left="-284" w:right="-427"/>
              <w:jc w:val="both"/>
              <w:rPr>
                <w:rFonts/>
                <w:color w:val="262626" w:themeColor="text1" w:themeTint="D9"/>
              </w:rPr>
            </w:pPr>
            <w:r>
              <w:t>Termina</w:t>
            </w:r>
          </w:p>
          <w:p>
            <w:pPr>
              <w:ind w:left="-284" w:right="-427"/>
              <w:jc w:val="both"/>
              <w:rPr>
                <w:rFonts/>
                <w:color w:val="262626" w:themeColor="text1" w:themeTint="D9"/>
              </w:rPr>
            </w:pPr>
            <w:r>
              <w:t>Para más información contactar a:</w:t>
            </w:r>
          </w:p>
          <w:p>
            <w:pPr>
              <w:ind w:left="-284" w:right="-427"/>
              <w:jc w:val="both"/>
              <w:rPr>
                <w:rFonts/>
                <w:color w:val="262626" w:themeColor="text1" w:themeTint="D9"/>
              </w:rPr>
            </w:pPr>
            <w:r>
              <w:t>Zephyr Editorial</w:t>
            </w:r>
          </w:p>
          <w:p>
            <w:pPr>
              <w:ind w:left="-284" w:right="-427"/>
              <w:jc w:val="both"/>
              <w:rPr>
                <w:rFonts/>
                <w:color w:val="262626" w:themeColor="text1" w:themeTint="D9"/>
              </w:rPr>
            </w:pPr>
            <w:r>
              <w:t>Tel: +44 (0)161 838 9552</w:t>
            </w:r>
          </w:p>
          <w:p>
            <w:pPr>
              <w:ind w:left="-284" w:right="-427"/>
              <w:jc w:val="both"/>
              <w:rPr>
                <w:rFonts/>
                <w:color w:val="262626" w:themeColor="text1" w:themeTint="D9"/>
              </w:rPr>
            </w:pPr>
            <w:r>
              <w:t>Email</w:t>
            </w:r>
          </w:p>
          <w:p>
            <w:pPr>
              <w:ind w:left="-284" w:right="-427"/>
              <w:jc w:val="both"/>
              <w:rPr>
                <w:rFonts/>
                <w:color w:val="262626" w:themeColor="text1" w:themeTint="D9"/>
              </w:rPr>
            </w:pPr>
            <w:r>
              <w:t>Obtenga el reporte completo </w:t>
            </w:r>
          </w:p>
          <w:p>
            <w:pPr>
              <w:ind w:left="-284" w:right="-427"/>
              <w:jc w:val="both"/>
              <w:rPr>
                <w:rFonts/>
                <w:color w:val="262626" w:themeColor="text1" w:themeTint="D9"/>
              </w:rPr>
            </w:pPr>
            <w:r>
              <w:t>Acceso a los datos brutos utilizados en el informe</w:t>
            </w:r>
          </w:p>
          <w:p>
            <w:pPr>
              <w:ind w:left="-284" w:right="-427"/>
              <w:jc w:val="both"/>
              <w:rPr>
                <w:rFonts/>
                <w:color w:val="262626" w:themeColor="text1" w:themeTint="D9"/>
              </w:rPr>
            </w:pPr>
            <w:r>
              <w:t>Descargar una fotografía de alta resolución de Lisa Wright, directora de Zephyr</w:t>
            </w:r>
          </w:p>
          <w:p>
            <w:pPr>
              <w:ind w:left="-284" w:right="-427"/>
              <w:jc w:val="both"/>
              <w:rPr>
                <w:rFonts/>
                <w:color w:val="262626" w:themeColor="text1" w:themeTint="D9"/>
              </w:rPr>
            </w:pPr>
            <w:r>
              <w:t>Notas a los editores:</w:t>
            </w:r>
          </w:p>
          <w:p>
            <w:pPr>
              <w:ind w:left="-284" w:right="-427"/>
              <w:jc w:val="both"/>
              <w:rPr>
                <w:rFonts/>
                <w:color w:val="262626" w:themeColor="text1" w:themeTint="D9"/>
              </w:rPr>
            </w:pPr>
            <w:r>
              <w:t>Acerca de los datos</w:t>
            </w:r>
          </w:p>
          <w:p>
            <w:pPr>
              <w:ind w:left="-284" w:right="-427"/>
              <w:jc w:val="both"/>
              <w:rPr>
                <w:rFonts/>
                <w:color w:val="262626" w:themeColor="text1" w:themeTint="D9"/>
              </w:rPr>
            </w:pPr>
            <w:r>
              <w:t>La actividad se basa en la actividad del país de destino.</w:t>
            </w:r>
          </w:p>
          <w:p>
            <w:pPr>
              <w:ind w:left="-284" w:right="-427"/>
              <w:jc w:val="both"/>
              <w:rPr>
                <w:rFonts/>
                <w:color w:val="262626" w:themeColor="text1" w:themeTint="D9"/>
              </w:rPr>
            </w:pPr>
            <w:r>
              <w:t>El estatus del acuerdo se anuncia dentro del período de tiempo.</w:t>
            </w:r>
          </w:p>
          <w:p>
            <w:pPr>
              <w:ind w:left="-284" w:right="-427"/>
              <w:jc w:val="both"/>
              <w:rPr>
                <w:rFonts/>
                <w:color w:val="262626" w:themeColor="text1" w:themeTint="D9"/>
              </w:rPr>
            </w:pPr>
            <w:r>
              <w:t>El desglose sectorial utiliza las actividades de los objetivos definidas por Zephyr como  and #39;Sectores principales and #39;.</w:t>
            </w:r>
          </w:p>
          <w:p>
            <w:pPr>
              <w:ind w:left="-284" w:right="-427"/>
              <w:jc w:val="both"/>
              <w:rPr>
                <w:rFonts/>
                <w:color w:val="262626" w:themeColor="text1" w:themeTint="D9"/>
              </w:rPr>
            </w:pPr>
            <w:r>
              <w:t>El intervalo de fechas para el año fiscal 2016 es de ofertas anunciadas entre el 01/01/2016 y el 31/12/2016.</w:t>
            </w:r>
          </w:p>
          <w:p>
            <w:pPr>
              <w:ind w:left="-284" w:right="-427"/>
              <w:jc w:val="both"/>
              <w:rPr>
                <w:rFonts/>
                <w:color w:val="262626" w:themeColor="text1" w:themeTint="D9"/>
              </w:rPr>
            </w:pPr>
            <w:r>
              <w:t>La región de América Latina y el Caribe abarca a las empresas objetivo en Anguila (AI), Antigua y Barbuda (AG), Argentina (AR), Aruba (AW), Bahamas (BS), Barbados (BB), Belice (BZ), Bermudas (BC), Islas Caimán (KY), Chile (CL), Colombia (CO), Costa Rica (CR), Cuba (CU), Curazao (CW), Dominica (DM), República Dominicana (DO), Ecuador (EC), El Salvador (SV), Grenada (GD), Guatemala (GT), Guyana (GY), Haití (HT) Jamaica (JM), México (MX), Nicaragua (NI), Panamá (PA), Paraguay (PY), Perú (PE), San Cristóbal y Nieves (KN), Santa Lucía (LC), San Vicente y las Granadinas VC), Sint Maarten (SX), Suriname (SR), Trinidad y Tobago (TT), Uruguay (UY), Venezuela (VE).</w:t>
            </w:r>
          </w:p>
          <w:p>
            <w:pPr>
              <w:ind w:left="-284" w:right="-427"/>
              <w:jc w:val="both"/>
              <w:rPr>
                <w:rFonts/>
                <w:color w:val="262626" w:themeColor="text1" w:themeTint="D9"/>
              </w:rPr>
            </w:pPr>
            <w:r>
              <w:t>Acerca de Bureau van DijkThe leading provider of the richest, most reliable private company, corporate ownership and deal information in the market, Bureau van Dijk is in the business of certainty.</w:t>
            </w:r>
          </w:p>
          <w:p>
            <w:pPr>
              <w:ind w:left="-284" w:right="-427"/>
              <w:jc w:val="both"/>
              <w:rPr>
                <w:rFonts/>
                <w:color w:val="262626" w:themeColor="text1" w:themeTint="D9"/>
              </w:rPr>
            </w:pPr>
            <w:r>
              <w:t>El principal proveedor de información de empresas privadas más rica y confiable, de propiedad corporativa y de acuerdos en el mercado, Bureau van Dijk está en el negocio de la certeza.</w:t>
            </w:r>
          </w:p>
          <w:p>
            <w:pPr>
              <w:ind w:left="-284" w:right="-427"/>
              <w:jc w:val="both"/>
              <w:rPr>
                <w:rFonts/>
                <w:color w:val="262626" w:themeColor="text1" w:themeTint="D9"/>
              </w:rPr>
            </w:pPr>
            <w:r>
              <w:t>La gama de productos de Bureau van Dijk combina datos de fuentes regulatorias y otras, incluyendo 150 socios de información, con software flexible que permite a los usuarios manipular datos para una gama de necesidades y aplicaciones de investigación. Su base de datos Orbis proporciona información sobre más de 200 millones de empresas en todo el mundo.</w:t>
            </w:r>
          </w:p>
          <w:p>
            <w:pPr>
              <w:ind w:left="-284" w:right="-427"/>
              <w:jc w:val="both"/>
              <w:rPr>
                <w:rFonts/>
                <w:color w:val="262626" w:themeColor="text1" w:themeTint="D9"/>
              </w:rPr>
            </w:pPr>
            <w:r>
              <w:t>Su base de datos Orbis proporciona información sobre más de 200 millones de empresas en todo el mundo. Además, Bureau van Dijk apoya distintos desafíos empresariales específicos a través de su gama de catalizadores, incluyendo la investigación y las evaluaciones de fusiones y adquisiciones, conocimiento del cliente (KYC), incorporaciones de clientes y proveedores, riesgo de crédito, adquisiciones y precios de transferencia, mientras que su división de soluciones personalizadas ofrece soluciones a medida. http://www.bvdinfo.com/corporatefinance</w:t>
            </w:r>
          </w:p>
          <w:p>
            <w:pPr>
              <w:ind w:left="-284" w:right="-427"/>
              <w:jc w:val="both"/>
              <w:rPr>
                <w:rFonts/>
                <w:color w:val="262626" w:themeColor="text1" w:themeTint="D9"/>
              </w:rPr>
            </w:pPr>
            <w:r>
              <w:t>Acerca de ZephyrZephyr es una solución de información que contiene ofertas de fusiones y adquisiciones, IPO y capital de riesgo y rumores con enlaces a información financiera detallada de compañías. Recientemente ganador de numerosos premios de la industria de fusiones y adquisiciones, incluyendo la Mejor Base de Datos M and A Global 2016 en los Premios M and A de Acquisition International, Zephyr es publicado por Bureau van Dijk. Los acuerdos de Zephyr están vinculados a los informes financieros de las compañías y de sus pares en los informes de la gama de productos de Bureau van Dijk. Zephyr contiene información sobre más de 1,4 millones de acuerdos.</w:t>
            </w:r>
          </w:p>
          <w:p>
            <w:pPr>
              <w:ind w:left="-284" w:right="-427"/>
              <w:jc w:val="both"/>
              <w:rPr>
                <w:rFonts/>
                <w:color w:val="262626" w:themeColor="text1" w:themeTint="D9"/>
              </w:rPr>
            </w:pPr>
            <w:r>
              <w:t>Más información sobre Zephyr </w:t>
            </w:r>
          </w:p>
          <w:p>
            <w:pPr>
              <w:ind w:left="-284" w:right="-427"/>
              <w:jc w:val="both"/>
              <w:rPr>
                <w:rFonts/>
                <w:color w:val="262626" w:themeColor="text1" w:themeTint="D9"/>
              </w:rPr>
            </w:pPr>
            <w:r>
              <w:t>Acerca de M and A Research CatalystDibujando datos de Orbis y Zephyr, M and A Research Catalyst ofrece informes claros y fáciles de interpretar creados específicamente para la investigación de fusiones y adquisiciones. Combinan información sobre empresas, acuerdos comparables y valoraciones junto en una interfaz para ayudarle a identificar objetivos o adquirentes, y empresas de valor. M and A Research Catalyst le proporciona información de fusiones y adquisiciones a la medida en un informe fácil de interpretar, incluyendo: finanzas; estimaciones de ganancias; noticias y acuerdos; compañías y acuerdos comparables; Valoración DCF; y múltiplos de valuación. www.bvdinfo.com/ma-catalyst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Zephyr Editorial</w:t>
      </w:r>
    </w:p>
    <w:p w:rsidR="00C31F72" w:rsidRDefault="00C31F72" w:rsidP="00AB63FE">
      <w:pPr>
        <w:pStyle w:val="Sinespaciado"/>
        <w:spacing w:line="276" w:lineRule="auto"/>
        <w:ind w:left="-284"/>
        <w:rPr>
          <w:rFonts w:ascii="Arial" w:hAnsi="Arial" w:cs="Arial"/>
        </w:rPr>
      </w:pPr>
      <w:r>
        <w:rPr>
          <w:rFonts w:ascii="Arial" w:hAnsi="Arial" w:cs="Arial"/>
        </w:rPr>
        <w:t>Bureau van Dijk</w:t>
      </w:r>
    </w:p>
    <w:p w:rsidR="00AB63FE" w:rsidRDefault="00C31F72" w:rsidP="00AB63FE">
      <w:pPr>
        <w:pStyle w:val="Sinespaciado"/>
        <w:spacing w:line="276" w:lineRule="auto"/>
        <w:ind w:left="-284"/>
        <w:rPr>
          <w:rFonts w:ascii="Arial" w:hAnsi="Arial" w:cs="Arial"/>
        </w:rPr>
      </w:pPr>
      <w:r>
        <w:rPr>
          <w:rFonts w:ascii="Arial" w:hAnsi="Arial" w:cs="Arial"/>
        </w:rPr>
        <w:t>+44 (0)161 838 9552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https://www.mexicopress.com.mx/las-fusiones-y-adquisiciones-en-america-latina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