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CDMX el 10/10/2016</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Las fusiones y adquisiciones en Latinoamérica disminuyeron en el Q3 después de una actuación positiva en Q2</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valor de las fusiones y adquisiciones (M&A) de compañías con sede en Sudamérica y Centroamérica, incluyendo paraísos fiscales, se redujo en el tercer trimestre de 2016 a pesar de un aumento en el volumen de acuerdo a la información de Zephyr, la base de datos líder de M&A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valor de las fusiones y adquisiciones (M and A) de compañías con sede en Sudamérica y Centroamérica, incluyendo paraísos fiscales, se redujo en el tercer trimestre de 2016 a pesar de un aumento en el volumen de acuerdo a la información de Zephyr, la base de datos líder de M and A. Hubieron 527 acuerdos con un valor superior a los 49,545 millones de dólares en el segundo trimestre de 2016. El descenso fue aún más marcado en una base año por año pues ambos, el volumen y el valor disminuyeron en comparación con el mismo trimestre de 2015 donde se invirtieron 85,313 millones de dólares en 736 transacciones.</w:t></w:r></w:p><w:p><w:pPr><w:ind w:left="-284" w:right="-427"/>	<w:jc w:val="both"/><w:rPr><w:rFonts/><w:color w:val="262626" w:themeColor="text1" w:themeTint="D9"/></w:rPr></w:pPr><w:r><w:t>Sin embargo, Zephyr muestra que el valor de los acuerdos en inversiones de capital (private equity) y el capital de riesgo privado (venture capital) dirigidos a empresas de América Latina aumentaron significativamente en el Q3 frente a una reducción en el volumen de USD 8.944 millones invertidos en 45 ofertas, en comparación con las 49 transacciones de USD 543 millones firmados durante el Q2. El resultado fue menos impresionante en el comparativo año tras año pues el volumen y valor se redujeron de los 60 acuerdos con un valor de USD 13.582 millones de el Q3 de 2015. El acuerdo de PE y VC más grande en valor dirigido a una empresa en América Latina tuvo un valor de USD 5.190 millones cuando un grupo inversor liderado por Brookfield Infrastructure Partners acordó una participación del 90 por ciento en la distribuidora brasileña de gas natural Nova Transportadora do Sudeste. Fue seguido por una oferta de USD 1.100 millones por el proveedor de servicios funerarios Nirvana Asia de CVC Capital Partners con sede en las Islas Caimán, a través del Asia Memorial Group.</w:t></w:r></w:p><w:p><w:pPr><w:ind w:left="-284" w:right="-427"/>	<w:jc w:val="both"/><w:rPr><w:rFonts/><w:color w:val="262626" w:themeColor="text1" w:themeTint="D9"/></w:rPr></w:pPr><w:r><w:t>La base de datos Zephyr muestra que las empresas brasileñas fueron blanco de seis de las 20 transacciones del trimestre cuyo valor combinado alcanza los 10.521 millones de dólares. El mayor acuerdo de paraíso fiscal del trimestre se ubicó en segundo lugar al ser tomado el holding de inversión Starwish International de las Islas Vírgenes Británicas por Sunac Real Estate Group. El acuerdo fue por USD 2.044 millones, pero también contó con múltiples activos chinos, es decir, la empresa latinoamericana no es parte de toda la consideración.</w:t></w:r></w:p><w:p><w:pPr><w:ind w:left="-284" w:right="-427"/>	<w:jc w:val="both"/><w:rPr><w:rFonts/><w:color w:val="262626" w:themeColor="text1" w:themeTint="D9"/></w:rPr></w:pPr><w:r><w:t>La transacción más valiosa de fusiones y adquisiciones enfocado a empresas de América Latina durante el Q3 fue la transacción por USD 5.190 millones de Nova Transportadora do Sudeste. Este acuerdo representa por sí solo el 10 por ciento del total de acuerdos en la región durante los tres meses.</w:t></w:r></w:p><w:p><w:pPr><w:ind w:left="-284" w:right="-427"/>	<w:jc w:val="both"/><w:rPr><w:rFonts/><w:color w:val="262626" w:themeColor="text1" w:themeTint="D9"/></w:rPr></w:pPr><w:r><w:t>Lisa Wright, directora de Zephyr, comentó:</w:t></w:r></w:p><w:p><w:pPr><w:ind w:left="-284" w:right="-427"/>	<w:jc w:val="both"/><w:rPr><w:rFonts/><w:color w:val="262626" w:themeColor="text1" w:themeTint="D9"/></w:rPr></w:pPr><w:r><w:t>La disminución en el valor de fusiones y adquisiciones en Latinoamerica durante el Q3 es especialmente decepcionante teniendo en cuenta que sucede de una mejora en el Q2 y puede volver a ser atribuído a la falta de un único acuerdo por valor de $10.000 millones de dólares o más a lo largo de los tres meses. Sin embargo, el capital privado ha demostrado ser un punto brillante pues los USD 8.944 millones invertidos representan el mejor resultado trimestral de 2016. Es interesante observar que cada trimestre que desde la fuga de los  and #39;Panama Papers and #39; en abril, los acuerdos de paraísos fiscales han representado una porción menor de los valores globales de América Latina y en el Q3 el valor de dichas transacciones alcanzó su nivel más bajo desde el Q3 de 2013. Hasta el momento no está claro si la disminución es el resultado directo de la fuga o simplemente otro síntoma de la disminución más amplia del valor registrado en el Q3.</w:t></w:r></w:p><w:p><w:pPr><w:ind w:left="-284" w:right="-427"/>	<w:jc w:val="both"/><w:rPr><w:rFonts/><w:color w:val="262626" w:themeColor="text1" w:themeTint="D9"/></w:rPr></w:pPr><w:r><w:t>Para mayor información puede contactar a la Editorial de Zephyr a través de:</w:t></w:r></w:p>	<w:p><w:pPr><w:ind w:left="-284" w:right="-427"/>	<w:jc w:val="both"/><w:rPr><w:rFonts/><w:color w:val="262626" w:themeColor="text1" w:themeTint="D9"/></w:rPr></w:pPr><w:r><w:t>Tel: +44 (0)161 838 9552</w:t></w:r></w:p>	<w:p><w:pPr><w:ind w:left="-284" w:right="-427"/>	<w:jc w:val="both"/><w:rPr><w:rFonts/><w:color w:val="262626" w:themeColor="text1" w:themeTint="D9"/></w:rPr></w:pPr><w:r><w:t>Correo electrónico</w:t></w:r></w:p>	<w:p><w:pPr><w:ind w:left="-284" w:right="-427"/>	<w:jc w:val="both"/><w:rPr><w:rFonts/><w:color w:val="262626" w:themeColor="text1" w:themeTint="D9"/></w:rPr></w:pPr><w:r><w:t>Obtenga el reporte completo</w:t></w:r></w:p>	<w:p><w:pPr><w:ind w:left="-284" w:right="-427"/>	<w:jc w:val="both"/><w:rPr><w:rFonts/><w:color w:val="262626" w:themeColor="text1" w:themeTint="D9"/></w:rPr></w:pPr><w:r><w:t>Obtenga los datos usados en el reporte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Bureau van Dijk México</w:t></w:r></w:p><w:p w:rsidR="00C31F72" w:rsidRDefault="00C31F72" w:rsidP="00AB63FE"><w:pPr><w:pStyle w:val="Sinespaciado"/><w:spacing w:line="276" w:lineRule="auto"/><w:ind w:left="-284"/><w:rPr><w:rFonts w:ascii="Arial" w:hAnsi="Arial" w:cs="Arial"/></w:rPr></w:pPr><w:r><w:rPr><w:rFonts w:ascii="Arial" w:hAnsi="Arial" w:cs="Arial"/></w:rPr><w:t>http://www.bvdinfo.com/en-uss/home</w:t></w:r></w:p><w:p w:rsidR="00AB63FE" w:rsidRDefault="00C31F72" w:rsidP="00AB63FE"><w:pPr><w:pStyle w:val="Sinespaciado"/><w:spacing w:line="276" w:lineRule="auto"/><w:ind w:left="-284"/><w:rPr><w:rFonts w:ascii="Arial" w:hAnsi="Arial" w:cs="Arial"/></w:rPr></w:pPr><w:r><w:rPr><w:rFonts w:ascii="Arial" w:hAnsi="Arial" w:cs="Arial"/></w:rPr><w:t>+ 52 (55) 3683-8080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https://www.mexicopress.com.mx/las-fusiones-y-adquisiciones-en-latinoamerica_2</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