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habilidades requeridas para los empleos remotos: el enfoque de Tecmilenio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certificaciones como principal diferenciador para destacar en la era digital y los empleos remotos. La transformación y flexibilidad ha abierto puertas a nuevas carreras, formas de trabajo y desarrollo de habilidades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digital actual, es crucial para los profesionales adaptarse y destacarse para aprovechar nuevas oportunidades. Por esa razón, el empleo remoto ha dejado de ser una excepción para convertirse en una norma para millones de profesionales alrededor del mundo. Las nuevas oportunidades que esta forma de trabajo ofrece a los profesionales no solo hablan de flexibilidad y libertad, sino también está redefiniendo la forma en que se ejecutan las tareas laborales, acceso a talentos globales, un mejor equilibrio entre la vida profesional y personal, así como una significativa reducción de costos tanto para empleadores como para empleados. </w:t>
            </w:r>
          </w:p>
          <w:p>
            <w:pPr>
              <w:ind w:left="-284" w:right="-427"/>
              <w:jc w:val="both"/>
              <w:rPr>
                <w:rFonts/>
                <w:color w:val="262626" w:themeColor="text1" w:themeTint="D9"/>
              </w:rPr>
            </w:pPr>
            <w:r>
              <w:t>El equilibrio entre la vida laboral y personal se ve favorecido con el trabajo remoto, ya que los profesionales tienen la oportunidad de gestionar su tiempo de manera más eficiente, traduciéndose en una mayor satisfacción y motivación laboral. De igual manera, el acceso a talentos globales favorece a las empresas, además no están limitadas a contratar empleados en su área geográfica inmediata, sino que pueden buscar a los mejores profesionales en cualquier parte del mundo. Esto enriquece la diversidad cultural y de pensamiento dentro de las organizaciones, lo cual es esencial en un mercado globalizado y competitivo.</w:t>
            </w:r>
          </w:p>
          <w:p>
            <w:pPr>
              <w:ind w:left="-284" w:right="-427"/>
              <w:jc w:val="both"/>
              <w:rPr>
                <w:rFonts/>
                <w:color w:val="262626" w:themeColor="text1" w:themeTint="D9"/>
              </w:rPr>
            </w:pPr>
            <w:r>
              <w:t>La transformación digital ha abierto puertas a nuevas carreras, formas de trabajo y habilidades demandadas. Aprovechar al máximo estas oportunidades requiere una combinación de adaptación, formación continua y proactividad. </w:t>
            </w:r>
          </w:p>
          <w:p>
            <w:pPr>
              <w:ind w:left="-284" w:right="-427"/>
              <w:jc w:val="both"/>
              <w:rPr>
                <w:rFonts/>
                <w:color w:val="262626" w:themeColor="text1" w:themeTint="D9"/>
              </w:rPr>
            </w:pPr>
            <w:r>
              <w:t>Una estrategia efectiva para lograr estos objetivos es obtener certificados e insignias digitales, por esa razón Tecmilenio ofrece métodos clave para navegar y prosperar en este entorno dinámico. </w:t>
            </w:r>
          </w:p>
          <w:p>
            <w:pPr>
              <w:ind w:left="-284" w:right="-427"/>
              <w:jc w:val="both"/>
              <w:rPr>
                <w:rFonts/>
                <w:color w:val="262626" w:themeColor="text1" w:themeTint="D9"/>
              </w:rPr>
            </w:pPr>
            <w:r>
              <w:t>El modelo educativo de Tecmilenio permite a las y los estudiantes obtener certificaciones en diversas áreas, tales como tecnología, negocios, ingenierías, marketing, ciencias sociales y muchas más. Estas son reconocidas a nivel internacional y son una prueba tangible de las competencias adquiridas, validando habilidades específicas y abriendo puertas a una variedad de sectores laborales. </w:t>
            </w:r>
          </w:p>
          <w:p>
            <w:pPr>
              <w:ind w:left="-284" w:right="-427"/>
              <w:jc w:val="both"/>
              <w:rPr>
                <w:rFonts/>
                <w:color w:val="262626" w:themeColor="text1" w:themeTint="D9"/>
              </w:rPr>
            </w:pPr>
            <w:r>
              <w:t>El objetivo de los certificados e insignias es fortalecer las habilidades y competencias de las y los profesionales, preparándolos integralmente para el éxito laboral. A través de una formación académica de alta calidad, la aplicación práctica de los conocimientos adquiridos y el desarrollo de las habilidades técnicas y humanas más demandadas por el mercado laboral, se impulsa su empleabilidad de manera efectiva. </w:t>
            </w:r>
          </w:p>
          <w:p>
            <w:pPr>
              <w:ind w:left="-284" w:right="-427"/>
              <w:jc w:val="both"/>
              <w:rPr>
                <w:rFonts/>
                <w:color w:val="262626" w:themeColor="text1" w:themeTint="D9"/>
              </w:rPr>
            </w:pPr>
            <w:r>
              <w:t>"La formación integral de las y los estudiantes pretende el desarrollo de capacidades, valores y habilidades que favorezcan su trayectoria académica; es un proceso continuo, permanente y participativo que busca lograr la realización plena del estudiante, preparándolo para enfrentar con éxito los problemas existentes en la sociedad", afirma Carlos Nevarez, Director de Proyección Profesional de Tecmilenio.</w:t>
            </w:r>
          </w:p>
          <w:p>
            <w:pPr>
              <w:ind w:left="-284" w:right="-427"/>
              <w:jc w:val="both"/>
              <w:rPr>
                <w:rFonts/>
                <w:color w:val="262626" w:themeColor="text1" w:themeTint="D9"/>
              </w:rPr>
            </w:pPr>
            <w:r>
              <w:t>Con las herramientas y certificaciones adecuadas, como las ofrecidas por Tecmilenio, los profesionales pueden posicionarse de manera competitiva en el mercado global, asegurando un futuro laboral prometedor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https://www.mexicopress.com.mx/las-habilidades-requeridas-para-los-empleos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Formación profesional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