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09/03/2023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ventas de Danfoss superan EUR 10 mil millones con los niveles de inversión más altos de la historia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Danfoss continúa su transformación impulsada por el cambio en los sistemas de energía a energías renovables y la necesidad de una productividad energética significativamente mayor en máquinas e infraestructura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Las ventas en 2022 superaron las expectativas, un 36% más hasta los 10,300 millones EUR. El crecimiento orgánico aumentó un 15%.</w:t>
            </w:r>
          </w:p>
          <w:p>
            <w:pPr>
              <w:ind w:left="-284" w:right="-427"/>
              <w:jc w:val="both"/>
              <w:rPr>
                <w:rFonts/>
                <w:color w:val="262626" w:themeColor="text1" w:themeTint="D9"/>
              </w:rPr>
            </w:pPr>
            <w:r>
              <w:t>• Los beneficios operativos (EBITA) aumentaron un 26% hasta alcanzar los 1,200 millones de EUR con un margen del 11,9%, que estuvo dentro del rango de orientación.</w:t>
            </w:r>
          </w:p>
          <w:p>
            <w:pPr>
              <w:ind w:left="-284" w:right="-427"/>
              <w:jc w:val="both"/>
              <w:rPr>
                <w:rFonts/>
                <w:color w:val="262626" w:themeColor="text1" w:themeTint="D9"/>
              </w:rPr>
            </w:pPr>
            <w:r>
              <w:t>• Crecimiento en todas las regiones y especialmente en América del Norte que creció un 71% durante el último año.</w:t>
            </w:r>
          </w:p>
          <w:p>
            <w:pPr>
              <w:ind w:left="-284" w:right="-427"/>
              <w:jc w:val="both"/>
              <w:rPr>
                <w:rFonts/>
                <w:color w:val="262626" w:themeColor="text1" w:themeTint="D9"/>
              </w:rPr>
            </w:pPr>
            <w:r>
              <w:t>• Fuertemente posicionado para el crecimiento futuro con importantes inversiones en electrificación con la creación de Semikron Danfoss, tomando una posición de liderazgo en electrónica de potencia y electrificación.</w:t>
            </w:r>
          </w:p>
          <w:p>
            <w:pPr>
              <w:ind w:left="-284" w:right="-427"/>
              <w:jc w:val="both"/>
              <w:rPr>
                <w:rFonts/>
                <w:color w:val="262626" w:themeColor="text1" w:themeTint="D9"/>
              </w:rPr>
            </w:pPr>
            <w:r>
              <w:t>• El gasto en innovación aumentó un 39% hasta los 457 millones EUR y las inversiones en capacidad de producción, regionalización y soluciones digitales aumentaron un 44% hasta los 531 millones EUR.</w:t>
            </w:r>
          </w:p>
          <w:p>
            <w:pPr>
              <w:ind w:left="-284" w:right="-427"/>
              <w:jc w:val="both"/>
              <w:rPr>
                <w:rFonts/>
                <w:color w:val="262626" w:themeColor="text1" w:themeTint="D9"/>
              </w:rPr>
            </w:pPr>
            <w:r>
              <w:t>• La calidad de los datos ESG mejoró y reportó un progreso sólido hacia el objetivo de alcanzar cero emisiones en los ámbitos 1 y 2 en 2030 en las operaciones globales.</w:t>
            </w:r>
          </w:p>
          <w:p>
            <w:pPr>
              <w:ind w:left="-284" w:right="-427"/>
              <w:jc w:val="both"/>
              <w:rPr>
                <w:rFonts/>
                <w:color w:val="262626" w:themeColor="text1" w:themeTint="D9"/>
              </w:rPr>
            </w:pPr>
            <w:r>
              <w:t>• Outlook 2023 ventas en el rango de EUR 10,4-11,9 mil millones y margen EBITA en el rango de 11,5-13,0%.</w:t>
            </w:r>
          </w:p>
          <w:p>
            <w:pPr>
              <w:ind w:left="-284" w:right="-427"/>
              <w:jc w:val="both"/>
              <w:rPr>
                <w:rFonts/>
                <w:color w:val="262626" w:themeColor="text1" w:themeTint="D9"/>
              </w:rPr>
            </w:pPr>
            <w:r>
              <w:t> Los muy sólidos resultados de Danfoss en 2022 demuestran el enorme potencial de crecimiento en productos y soluciones que contribuyen a cumplir los objetivos climáticos globales y regionales.</w:t>
            </w:r>
          </w:p>
          <w:p>
            <w:pPr>
              <w:ind w:left="-284" w:right="-427"/>
              <w:jc w:val="both"/>
              <w:rPr>
                <w:rFonts/>
                <w:color w:val="262626" w:themeColor="text1" w:themeTint="D9"/>
              </w:rPr>
            </w:pPr>
            <w:r>
              <w:t>Las ventas crecieron un 36% en comparación con 2021. El crecimiento orgánico fue del 15% con un margen EBITA que alcanzó el 11,9% en 2022. Esto se combina con un sólido flujo de caja operativo libre antes de fusiones y adquisiciones de 465 millones de euros, un aumento del 16% en comparación con 2021. Altos niveles de inversiones estratégicas en innovación, capacidad de producción, transformación digital e iniciativas de crecimiento regional, el EBITA aumentó un 26% a 1224 millones de euros en comparación con 2021. Las ganancias se vieron afectadas por la salida de Rusia y la creación de Semikron Danfoss e impulsadas por la mayor línea superior y tracción continua en la gestión de abastecimiento, rendimiento de fábrica y fijación de precios.</w:t>
            </w:r>
          </w:p>
          <w:p>
            <w:pPr>
              <w:ind w:left="-284" w:right="-427"/>
              <w:jc w:val="both"/>
              <w:rPr>
                <w:rFonts/>
                <w:color w:val="262626" w:themeColor="text1" w:themeTint="D9"/>
              </w:rPr>
            </w:pPr>
            <w:r>
              <w:t>"Danfoss está mejor posicionado para crecer en todas las regiones que nunca. Las ventas se distribuyen casi uniformemente en América, Europa y Asia con oportunidades significativas en todas las regiones. Como ejemplo, aumentamos significativamente las ventas nuevamente este año en América del Norte. Con los niveles récord de inversiones en capacidad de producción, regionalización y soluciones digitales, el objetivo es mejorar aún más el servicio a los clientes a nivel mundial", dice Kim Fausing, presidente y CEO de Danfoss.</w:t>
            </w:r>
          </w:p>
          <w:p>
            <w:pPr>
              <w:ind w:left="-284" w:right="-427"/>
              <w:jc w:val="both"/>
              <w:rPr>
                <w:rFonts/>
                <w:color w:val="262626" w:themeColor="text1" w:themeTint="D9"/>
              </w:rPr>
            </w:pPr>
            <w:r>
              <w:t>La estrategia Core  and  Clear 2025 de Danfoss, una estrategia de crecimiento verde, se lanzó en abril de 2022 con el objetivo de garantizar mayores inversiones para fortalecer los tres segmentos comerciales de Danfoss y mantener un sólido conocimiento de las aplicaciones, innovación sostenible y posiciones de liderazgo.</w:t>
            </w:r>
          </w:p>
          <w:p>
            <w:pPr>
              <w:ind w:left="-284" w:right="-427"/>
              <w:jc w:val="both"/>
              <w:rPr>
                <w:rFonts/>
                <w:color w:val="262626" w:themeColor="text1" w:themeTint="D9"/>
              </w:rPr>
            </w:pPr>
            <w:r>
              <w:t>"Al aumentar el gasto en innovación en un 39%, demostramos nuevamente nuestro compromiso de ofrecer las mejores tecnologías y soluciones de su clase. Seguimos invirtiendo en tecnologías para centros de datos sostenibles, el mercado de pronto crecimiento de bombas de calor y soluciones de eficiencia energética, vehículos autónomos, la electrificación de máquinas y embarcaciones marinas, y maquinaria móvil, así como Power-to-X y sistemas de almacenamiento de energía en baterías. Finalmente, fue un verdadero hito lanzar Semikron Danfoss en agosto y, por lo tanto, establecer una posición de liderazgo en electrónica de potencia y electrificación", dice Kim Fausing.</w:t>
            </w:r>
          </w:p>
          <w:p>
            <w:pPr>
              <w:ind w:left="-284" w:right="-427"/>
              <w:jc w:val="both"/>
              <w:rPr>
                <w:rFonts/>
                <w:color w:val="262626" w:themeColor="text1" w:themeTint="D9"/>
              </w:rPr>
            </w:pPr>
            <w:r>
              <w:t>Danfoss está decidido a desvincular su impacto de carbono del crecimiento de su propio negocio con tecnologías para la eficiencia energética, la integración del sector, la vinculación de varios vectores de energía y la electrificación. Ajustado por adquisiciones, Danfoss logró una disminución del 7% en las emisiones 1 y 2 en 2022, mientras que creció un 15% orgánicamente. Al mismo tiempo, Danfoss está tomando medidas críticas para promover la diversidad y la inclusión a través de grupos de recursos para empleados a nivel mundial.</w:t>
            </w:r>
          </w:p>
          <w:p>
            <w:pPr>
              <w:ind w:left="-284" w:right="-427"/>
              <w:jc w:val="both"/>
              <w:rPr>
                <w:rFonts/>
                <w:color w:val="262626" w:themeColor="text1" w:themeTint="D9"/>
              </w:rPr>
            </w:pPr>
            <w:r>
              <w:t>"Nuestros resultados están realmente impulsados por los diversos equipos de alto rendimiento en todo el mundo. Se está tomando medidas críticas para avanzar en Diversidad e Inclusión, y ha sido fantástico seguir el creciente compromiso en toda la organización. En 2022, enfrentamos una serie de desafíos y  enorgulle ver cómo trabajamos junto con los clientes y socios para manejar esos desafíos de la mejor manera posible. Los resultados los crean las personas. Ahora cerca de 42,000 personas en Danfoss, y me gustaría agradecer a todos los colegas que hicieron posible los resultados. Juntos construimos un futuro mejor", añade Kim Fausing.</w:t>
            </w:r>
          </w:p>
          <w:p>
            <w:pPr>
              <w:ind w:left="-284" w:right="-427"/>
              <w:jc w:val="both"/>
              <w:rPr>
                <w:rFonts/>
                <w:color w:val="262626" w:themeColor="text1" w:themeTint="D9"/>
              </w:rPr>
            </w:pPr>
            <w:r>
              <w:t>Perspectivas 2023</w:t>
            </w:r>
          </w:p>
          <w:p>
            <w:pPr>
              <w:ind w:left="-284" w:right="-427"/>
              <w:jc w:val="both"/>
              <w:rPr>
                <w:rFonts/>
                <w:color w:val="262626" w:themeColor="text1" w:themeTint="D9"/>
              </w:rPr>
            </w:pPr>
            <w:r>
              <w:t>Danfoss tiene la ambición continua de expandir o mantener su participación de mercado. Se espera que las ventas estén en el rango de 10.4-11.9 mil millones de euros para todo el año. Se espera que el margen EBITA esté en el rango de 11.5-13.0%, luego de la integración continua de negocios ya adquiridos, así como inversiones en el desarrollo de nuevos productos y soluciones. El crecimiento esperado y el rendimiento de la rentabilidad dependen del desarrollo de las interrupciones de la cadena de suministro global, la guerra en Ucrania, la inflación y la pandemia, así como de las tasas generales de crecimiento de la economía mundial.</w:t>
            </w:r>
          </w:p>
          <w:p>
            <w:pPr>
              <w:ind w:left="-284" w:right="-427"/>
              <w:jc w:val="both"/>
              <w:rPr>
                <w:rFonts/>
                <w:color w:val="262626" w:themeColor="text1" w:themeTint="D9"/>
              </w:rPr>
            </w:pPr>
            <w:r>
              <w:t>Junto con los clientes, Danfoss tiene un enorme potencial para contribuir a los objetivos climáticos globales y regionales a través de las tecnologías y soluciones que se llevan al mercado. Danfoss sigue comprometido con la descarbonización de las operaciones globales para 2030, lo cual está incluido en los objetivos de las iniciativas de cambio de tres pasos sobre Descarbonización, Circularidad y Diversidad e Inclusión. Se continuará invirtiendo en sustentabilidad, mejorando la huella climática y cumpliendo la ambición ESG.</w:t>
            </w:r>
          </w:p>
          <w:p>
            <w:pPr>
              <w:ind w:left="-284" w:right="-427"/>
              <w:jc w:val="both"/>
              <w:rPr>
                <w:rFonts/>
                <w:color w:val="262626" w:themeColor="text1" w:themeTint="D9"/>
              </w:rPr>
            </w:pPr>
            <w:r>
              <w:t>Cifras clave para 2022</w:t>
            </w:r>
          </w:p>
          <w:p>
            <w:pPr>
              <w:ind w:left="-284" w:right="-427"/>
              <w:jc w:val="both"/>
              <w:rPr>
                <w:rFonts/>
                <w:color w:val="262626" w:themeColor="text1" w:themeTint="D9"/>
              </w:rPr>
            </w:pPr>
            <w:r>
              <w:t>• Las ventas aumentaron un 36% hasta los 10.256 millones de euros (2021: 7.539 millones), lo que corresponde a un importante crecimiento orgánico del 15%.</w:t>
            </w:r>
          </w:p>
          <w:p>
            <w:pPr>
              <w:ind w:left="-284" w:right="-427"/>
              <w:jc w:val="both"/>
              <w:rPr>
                <w:rFonts/>
                <w:color w:val="262626" w:themeColor="text1" w:themeTint="D9"/>
              </w:rPr>
            </w:pPr>
            <w:r>
              <w:t>• Las inversiones en innovación (I+D) aumentaron un 39% hasta los 457 millones de euros (2021: 328m), correspondientes al 4,5% de las ventas (2021: 4,4%).</w:t>
            </w:r>
          </w:p>
          <w:p>
            <w:pPr>
              <w:ind w:left="-284" w:right="-427"/>
              <w:jc w:val="both"/>
              <w:rPr>
                <w:rFonts/>
                <w:color w:val="262626" w:themeColor="text1" w:themeTint="D9"/>
              </w:rPr>
            </w:pPr>
            <w:r>
              <w:t>• Las inversiones (CAPEX) excluyendo fusiones y adquisiciones aumentaron un 44 % hasta los 531 millones de euros (2021: 368 millones).</w:t>
            </w:r>
          </w:p>
          <w:p>
            <w:pPr>
              <w:ind w:left="-284" w:right="-427"/>
              <w:jc w:val="both"/>
              <w:rPr>
                <w:rFonts/>
                <w:color w:val="262626" w:themeColor="text1" w:themeTint="D9"/>
              </w:rPr>
            </w:pPr>
            <w:r>
              <w:t>• El beneficio operativo (EBITA) aumentó un 26 % hasta los 1224 millones EUR (2021: 969 millones), lo que lleva a un sólido margen EBITA del 11,9 % (2021: 12,8 %).</w:t>
            </w:r>
          </w:p>
          <w:p>
            <w:pPr>
              <w:ind w:left="-284" w:right="-427"/>
              <w:jc w:val="both"/>
              <w:rPr>
                <w:rFonts/>
                <w:color w:val="262626" w:themeColor="text1" w:themeTint="D9"/>
              </w:rPr>
            </w:pPr>
            <w:r>
              <w:t>• El flujo de caja operativo libre después de partidas financieras e impuestos (antes de fusiones y adquisiciones) aumentó un 16 % hasta los 465 millones EUR (2021: 401 millones).</w:t>
            </w:r>
          </w:p>
          <w:p>
            <w:pPr>
              <w:ind w:left="-284" w:right="-427"/>
              <w:jc w:val="both"/>
              <w:rPr>
                <w:rFonts/>
                <w:color w:val="262626" w:themeColor="text1" w:themeTint="D9"/>
              </w:rPr>
            </w:pPr>
            <w:r>
              <w:t>• El beneficio neto alcanzó los 683 millones de euros, un 8 % más (2021: 631 millones).</w:t>
            </w:r>
          </w:p>
          <w:p>
            <w:pPr>
              <w:ind w:left="-284" w:right="-427"/>
              <w:jc w:val="both"/>
              <w:rPr>
                <w:rFonts/>
                <w:color w:val="262626" w:themeColor="text1" w:themeTint="D9"/>
              </w:rPr>
            </w:pPr>
            <w:r>
              <w:t>• Las emisiones de alcance 1 y 2 disminuyeron un 7 % (2021: 3 %) al ajustar por el negocio hidráulico adquirido en 2021.</w:t>
            </w:r>
          </w:p>
          <w:p>
            <w:pPr>
              <w:ind w:left="-284" w:right="-427"/>
              <w:jc w:val="both"/>
              <w:rPr>
                <w:rFonts/>
                <w:color w:val="262626" w:themeColor="text1" w:themeTint="D9"/>
              </w:rPr>
            </w:pPr>
            <w:r>
              <w:t>• La frecuencia de lesiones con tiempo perdido (LTIF, por sus siglas en inglés) finalizó en el nivel mínimo histórico de 1,6 (2021: 1,7).</w:t>
            </w:r>
          </w:p>
          <w:p>
            <w:pPr>
              <w:ind w:left="-284" w:right="-427"/>
              <w:jc w:val="both"/>
              <w:rPr>
                <w:rFonts/>
                <w:color w:val="262626" w:themeColor="text1" w:themeTint="D9"/>
              </w:rPr>
            </w:pPr>
            <w:r>
              <w:t>• 41,928 empleados (2021: 40.043).</w:t>
            </w:r>
          </w:p>
          <w:p>
            <w:pPr>
              <w:ind w:left="-284" w:right="-427"/>
              <w:jc w:val="both"/>
              <w:rPr>
                <w:rFonts/>
                <w:color w:val="262626" w:themeColor="text1" w:themeTint="D9"/>
              </w:rPr>
            </w:pPr>
            <w:r>
              <w:t>• 21% de mujeres en puestos de liderazgo (2021: 20 %).</w:t>
            </w:r>
          </w:p>
          <w:p>
            <w:pPr>
              <w:ind w:left="-284" w:right="-427"/>
              <w:jc w:val="both"/>
              <w:rPr>
                <w:rFonts/>
                <w:color w:val="262626" w:themeColor="text1" w:themeTint="D9"/>
              </w:rPr>
            </w:pPr>
            <w:r>
              <w:t>Ver el Annual Report 2022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https://www.mexicopress.com.mx/las-ventas-de-danfoss-superan-eur-10-mil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Recursos humanos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