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Dublin, Irlanda el 20/05/2019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datos de 10 años muestran la seguridad y eficacia a largo plazo de los implantes GC Aesthetics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GC Aesthetics (GCA) anunció hoy que el pasado 27 de abril se publicaron en el Aesthetic Surgery Journal Open Forum los datos de un estudio clínico europeo realizado entre más de 500 mujeres portadoras de los implantes mamarios de Eurosilicone de GC Aesthetics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titulado  and #39;Datos de seguridad de diez años para los implantes mamarios redondos y anatómicos de gel de silicona de Eurosilicone and #39;, analizó el uso de los implantes mamarios Cristalline Paragel rellenos de gel de Eurosilicone en el aumento mamario y en la cirugía reconstructiva, y es el mayor estudio europeo a largo plazo llevado a cabo hasta la fecha sobre implantes mamarios.</w:t>
            </w:r>
          </w:p>
          <w:p>
            <w:pPr>
              <w:ind w:left="-284" w:right="-427"/>
              <w:jc w:val="both"/>
              <w:rPr>
                <w:rFonts/>
                <w:color w:val="262626" w:themeColor="text1" w:themeTint="D9"/>
              </w:rPr>
            </w:pPr>
            <w:r>
              <w:t>"Los resultados de este estudio a largo plazo se encuentran entre los mejores del sector", afirmó el profesor Franck Duteille, doctor en Cirugía Plástica, Reconstructiva y Estética del Hospital Universitario de Nantes, e investigador principal del estudio. "Los objetivos se alcanzaron y pueden observarse en las bajas tasas de complicaciones por contractura capsular y rotura, así como en el reducido número de pacientes que experimentaron complicaciones locales como hematomas, seromas e infecciones".</w:t>
            </w:r>
          </w:p>
          <w:p>
            <w:pPr>
              <w:ind w:left="-284" w:right="-427"/>
              <w:jc w:val="both"/>
              <w:rPr>
                <w:rFonts/>
                <w:color w:val="262626" w:themeColor="text1" w:themeTint="D9"/>
              </w:rPr>
            </w:pPr>
            <w:r>
              <w:t>Las participantes del estudio recibieron implantes mamarios texturizados de Eurosilicone de GC Aesthetics para cirugías primarias (423 mujeres) y de revisión (103 mujeres) en 17 centros de toda Francia. Las complicaciones se registraron a los tres meses y posteriormente cada año, durante diez años.</w:t>
            </w:r>
          </w:p>
          <w:p>
            <w:pPr>
              <w:ind w:left="-284" w:right="-427"/>
              <w:jc w:val="both"/>
              <w:rPr>
                <w:rFonts/>
                <w:color w:val="262626" w:themeColor="text1" w:themeTint="D9"/>
              </w:rPr>
            </w:pPr>
            <w:r>
              <w:t>Los resultados a diez años muestran las estimaciones de riesgo de Kaplan-Meier para las pacientes en la cohorte de aumento primario como:</w:t>
            </w:r>
          </w:p>
          <w:p>
            <w:pPr>
              <w:ind w:left="-284" w:right="-427"/>
              <w:jc w:val="both"/>
              <w:rPr>
                <w:rFonts/>
                <w:color w:val="262626" w:themeColor="text1" w:themeTint="D9"/>
              </w:rPr>
            </w:pPr>
            <w:r>
              <w:t>4,9% ruptura</w:t>
            </w:r>
          </w:p>
          <w:p>
            <w:pPr>
              <w:ind w:left="-284" w:right="-427"/>
              <w:jc w:val="both"/>
              <w:rPr>
                <w:rFonts/>
                <w:color w:val="262626" w:themeColor="text1" w:themeTint="D9"/>
              </w:rPr>
            </w:pPr>
            <w:r>
              <w:t>13,8% contractura capsular (grados de Baker III y IV)</w:t>
            </w:r>
          </w:p>
          <w:p>
            <w:pPr>
              <w:ind w:left="-284" w:right="-427"/>
              <w:jc w:val="both"/>
              <w:rPr>
                <w:rFonts/>
                <w:color w:val="262626" w:themeColor="text1" w:themeTint="D9"/>
              </w:rPr>
            </w:pPr>
            <w:r>
              <w:t>"Los resultados obtenidos de este estudio clínico europeo a gran escala de nuestros implantes mamarios texturizados confirman el compromiso de 30 años de GC Aesthetics de ofrecer continuamente a nuestros clientes tecnologías seguras e innovadoras, demostradas a través de la investigación clínica independiente y el apoyo diario proporcionado por nuestros dedicados empleados", comentó el director ejecutivo de GC Aesthetics, Carlos Reis Pinto. "Además de estos magníficos datos, estamos a la espera de la aprobación para iniciar otro estudio clínico europeo a largo plazo sobre nuestros implantes mamarios lisos. Estamos trabajando en colaboración con socios de todo el sector, ya que seguimos centrados en la seguridad y la atención al paciente".</w:t>
            </w:r>
          </w:p>
          <w:p>
            <w:pPr>
              <w:ind w:left="-284" w:right="-427"/>
              <w:jc w:val="both"/>
              <w:rPr>
                <w:rFonts/>
                <w:color w:val="262626" w:themeColor="text1" w:themeTint="D9"/>
              </w:rPr>
            </w:pPr>
            <w:r>
              <w:t>Sobre GC AestheticsGC Aesthetics (GCA) es una consolidada empresa global de tecnología médica que desarrolla, fabrica internamente y comercializa una amplia gama de productos estéticos patentados que permiten a los pacientes sentirse seguros y confiados en su camino personal. A lo largo de 30 años de presencia comercial, GCA se ha dedicado a avanzar en la ciencia de la estética médica y a ofrecer productos de alta calidad bajo sus marcas prémium Nagor y Eurosilicone, principalmente para el aumento mamario y la cirugía reconstructiva. Más de tres millones de mujeres y hombres en 70 países han confiado en los productos de GCA, que están avalados por datos clínicos publicados a lo largo de diez años que demuestran una seguridad y una eficacia clínica muy convincentes. La estrategia de integración vertical de la empresa permite un rendimiento clínico, operativo y comercial excepcional, lo que permite a GCA ofrecer productos diferenciados y competitivos a médicos y pacientes. Gracias a una cultura de innovación continua y dedicación a la respuesta al cliente, GCA se ha establecido como un proveedor líder de soluciones de estética médica y como el mejor aliado para los pacientes que desean mejorar sus vidas.</w:t>
            </w:r>
          </w:p>
          <w:p>
            <w:pPr>
              <w:ind w:left="-284" w:right="-427"/>
              <w:jc w:val="both"/>
              <w:rPr>
                <w:rFonts/>
                <w:color w:val="262626" w:themeColor="text1" w:themeTint="D9"/>
              </w:rPr>
            </w:pPr>
            <w:r>
              <w:t>Contacto</w:t>
            </w:r>
          </w:p>
          <w:p>
            <w:pPr>
              <w:ind w:left="-284" w:right="-427"/>
              <w:jc w:val="both"/>
              <w:rPr>
                <w:rFonts/>
                <w:color w:val="262626" w:themeColor="text1" w:themeTint="D9"/>
              </w:rPr>
            </w:pPr>
            <w:r>
              <w:t>GC Aesthetics</w:t>
            </w:r>
          </w:p>
          <w:p>
            <w:pPr>
              <w:ind w:left="-284" w:right="-427"/>
              <w:jc w:val="both"/>
              <w:rPr>
                <w:rFonts/>
                <w:color w:val="262626" w:themeColor="text1" w:themeTint="D9"/>
              </w:rPr>
            </w:pPr>
            <w:r>
              <w:t>info@gcaesthetics.com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GC Aesthetics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https://www.mexicopress.com.mx/los-datos-de-10-anos-muestran-la-seguridad-y_1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