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Cambridge el 26/03/2024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Moderna obtiene resultados provisionales positivos en el ensayo de fase 3 de la vacuna de nueva generación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mRNA-1283 indujo una respuesta inmunitaria más robusta en comparación con la vacuna Spikevax® COVID-19, mRNA-1273.222. El diseño de vacunas de ARNm de nueva generación ofrece la posibilidad de una vida útil más larga y ventajas de almacenamiento, y allana el camino para la vacuna combinada contra la gripe y COVID-19, ARNm-1083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Moderna, Inc. (NASDAQ:MRNA) ha anunciado que mRNA-1283, la vacuna COVID-19 de nueva generación de la compañía, ha alcanzado con éxito los criterios de valoración primarios de su ensayo clínico de fase 3, demostrando una mayor respuesta inmunitaria contra el SARS-CoV-2 en comparación con mRNA-1273.222, la vacuna COVID-19 autorizada de Moderna.</w:t>
            </w:r>
          </w:p>
          <w:p>
            <w:pPr>
              <w:ind w:left="-284" w:right="-427"/>
              <w:jc w:val="both"/>
              <w:rPr>
                <w:rFonts/>
                <w:color w:val="262626" w:themeColor="text1" w:themeTint="D9"/>
              </w:rPr>
            </w:pPr>
            <w:r>
              <w:t>"Nos complace anunciar nuestro cuarto programa de vacunas contra enfermedades infecciosas con datos positivos de fase 3, lo que valida aún más nuestra sólida plataforma de ARNm", declaró Stéphane Bancel, consejero delegado de Moderna. "El ARNm-1283 es un componente crítico de nuestra vacuna combinada contra la gripe y la COVID-19, el ARNm-1083, y este hito nos da confianza en nuestra capacidad para llevar al mercado esta vacuna tan necesaria".</w:t>
            </w:r>
          </w:p>
          <w:p>
            <w:pPr>
              <w:ind w:left="-284" w:right="-427"/>
              <w:jc w:val="both"/>
              <w:rPr>
                <w:rFonts/>
                <w:color w:val="262626" w:themeColor="text1" w:themeTint="D9"/>
              </w:rPr>
            </w:pPr>
            <w:r>
              <w:t>En el ensayo pivotal de fase 3 NextCOVE (NCT05815498), se demostró que el ARNm-1283 provocaba una mayor respuesta inmunitaria contra las cepas Omicron BA.4/BA.5 y original del virus del SRAS-CoV-2, en comparación con el ARNm-1273.222. Es importante destacar que este beneficio se observó de forma más aguda en los participantes mayores de 65 años, la población que sigue estando en mayor riesgo de contraer COVID-19. El acontecimiento adverso local solicitado más frecuente fue el dolor en el lugar de la inyección. Los efectos adversos sistémicos más frecuentes fueron cefalea, fatiga, mialgia y escalofríos.</w:t>
            </w:r>
          </w:p>
          <w:p>
            <w:pPr>
              <w:ind w:left="-284" w:right="-427"/>
              <w:jc w:val="both"/>
              <w:rPr>
                <w:rFonts/>
                <w:color w:val="262626" w:themeColor="text1" w:themeTint="D9"/>
              </w:rPr>
            </w:pPr>
            <w:r>
              <w:t>El ensayo clínico NEXTCove es un estudio aleatorizado, ciego a los observadores, de control activo, en el que participaron aproximadamente 11.400 personas mayores de 12 años de Estados Unidos, Reino Unido y Canadá. Se comprobó que el ARNm-1283 tenía un perfil de seguridad similar al de las vacunas COVID-19 aprobadas por Moderna.</w:t>
            </w:r>
          </w:p>
          <w:p>
            <w:pPr>
              <w:ind w:left="-284" w:right="-427"/>
              <w:jc w:val="both"/>
              <w:rPr>
                <w:rFonts/>
                <w:color w:val="262626" w:themeColor="text1" w:themeTint="D9"/>
              </w:rPr>
            </w:pPr>
            <w:r>
              <w:t>El almacenamiento, la caducidad y la presentación en jeringas precargadas del mRNA-1283 podrían aliviar la carga de trabajo de los profesionales sanitarios y aumentar potencialmente el acceso a nuevos entornos al servicio de la salud pública. Un análisis detallado de los datos del ensayo clínico de fase 3 de mRNA-1283 se compartirá en el evento del Día de las Vacunas de la Compañía este 27 de marzo y se presentará en próximas conferencias científicas.</w:t>
            </w:r>
          </w:p>
          <w:p>
            <w:pPr>
              <w:ind w:left="-284" w:right="-427"/>
              <w:jc w:val="both"/>
              <w:rPr>
                <w:rFonts/>
                <w:color w:val="262626" w:themeColor="text1" w:themeTint="D9"/>
              </w:rPr>
            </w:pPr>
            <w:r>
              <w:t>Sobre ModernaModerna es líder en la creación del campo de la medicina del ARNm. Mediante el avance de la tecnología del ARNm, Moderna está reimaginando cómo se fabrican los medicamentos y transformando la forma en que se tratan y se previenen las enfermedades para todos. Al trabajar en la intersección de la ciencia, la tecnología y la salud durante más de una década, la empresa ha desarrollado medicamentos a una gran velocidad y con una eficacia sin precedentes, incluida una de las primeras y más eficaces vacunas COVID-19.</w:t>
            </w:r>
          </w:p>
          <w:p>
            <w:pPr>
              <w:ind w:left="-284" w:right="-427"/>
              <w:jc w:val="both"/>
              <w:rPr>
                <w:rFonts/>
                <w:color w:val="262626" w:themeColor="text1" w:themeTint="D9"/>
              </w:rPr>
            </w:pPr>
            <w:r>
              <w:t>La plataforma de ARNm de Moderna ha permitido el desarrollo de terapias y vacunas para enfermedades infecciosas, inmuno-oncología, enfermedades raras y enfermedades autoinmunes. Con una cultura única y un equipo global impulsado por los valores y la mentalidad de Moderna para cambiar de forma responsable el futuro de la salud humana, Moderna se esfuerza por ofrecer el mayor impacto posible a las personas a través de medicamentos de ARNm.</w:t>
            </w:r>
          </w:p>
          <w:p>
            <w:pPr>
              <w:ind w:left="-284" w:right="-427"/>
              <w:jc w:val="both"/>
              <w:rPr>
                <w:rFonts/>
                <w:color w:val="262626" w:themeColor="text1" w:themeTint="D9"/>
              </w:rPr>
            </w:pPr>
            <w:r>
              <w:t>Más información en: modernatx.com</w:t>
            </w:r>
          </w:p>
          <w:p>
            <w:pPr>
              <w:ind w:left="-284" w:right="-427"/>
              <w:jc w:val="both"/>
              <w:rPr>
                <w:rFonts/>
                <w:color w:val="262626" w:themeColor="text1" w:themeTint="D9"/>
              </w:rPr>
            </w:pPr>
            <w:r>
              <w:t>Spikevax® es una marca registrada de Moderna.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Elise Meyer</w:t>
      </w:r>
    </w:p>
    <w:p w:rsidR="00C31F72" w:rsidRDefault="00C31F72" w:rsidP="00AB63FE">
      <w:pPr>
        <w:pStyle w:val="Sinespaciado"/>
        <w:spacing w:line="276" w:lineRule="auto"/>
        <w:ind w:left="-284"/>
        <w:rPr>
          <w:rFonts w:ascii="Arial" w:hAnsi="Arial" w:cs="Arial"/>
        </w:rPr>
      </w:pPr>
      <w:r>
        <w:rPr>
          <w:rFonts w:ascii="Arial" w:hAnsi="Arial" w:cs="Arial"/>
        </w:rPr>
        <w:t>Moderna</w:t>
      </w:r>
    </w:p>
    <w:p w:rsidR="00AB63FE" w:rsidRDefault="00C31F72" w:rsidP="00AB63FE">
      <w:pPr>
        <w:pStyle w:val="Sinespaciado"/>
        <w:spacing w:line="276" w:lineRule="auto"/>
        <w:ind w:left="-284"/>
        <w:rPr>
          <w:rFonts w:ascii="Arial" w:hAnsi="Arial" w:cs="Arial"/>
        </w:rPr>
      </w:pPr>
      <w:r>
        <w:rPr>
          <w:rFonts w:ascii="Arial" w:hAnsi="Arial" w:cs="Arial"/>
        </w:rPr>
        <w:t>+1 617-852-7041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https://www.mexicopress.com.mx/moderna-obtiene-resultados-provisionales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Industria Farmacéutica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