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analiza cómo se gestionarán los datos empresariales durante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30% de las empresas impulsadas por datos aumentarán sus ingresos en más del 10% para finales de 2024, en comparación con solo el 13% que todavía no los utiliza correctamente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modelos cederán paso a los datos en el despliegue de la IAEn el último año, las organizaciones se han volcado en aprovechar las oportunidades que ofrece la IA generativa, la cual se ha vuelto cada vez más omnipresente y con aplicaciones aparentemente ilimitadas.</w:t>
            </w:r>
          </w:p>
          <w:p>
            <w:pPr>
              <w:ind w:left="-284" w:right="-427"/>
              <w:jc w:val="both"/>
              <w:rPr>
                <w:rFonts/>
                <w:color w:val="262626" w:themeColor="text1" w:themeTint="D9"/>
              </w:rPr>
            </w:pPr>
            <w:r>
              <w:t>A medida que las organizaciones comiencen a utilizar la IA para automatizar sus operaciones de negocio, muchas empezarán a necesitar modelos de IA más flexibles. Por ello, comenzarán a priorizar la creación de pipelines de datos para entrenar sus aplicaciones de IA, de modo que puedan aprender de la información más reciente y actualizarse en consecuencia.</w:t>
            </w:r>
          </w:p>
          <w:p>
            <w:pPr>
              <w:ind w:left="-284" w:right="-427"/>
              <w:jc w:val="both"/>
              <w:rPr>
                <w:rFonts/>
                <w:color w:val="262626" w:themeColor="text1" w:themeTint="D9"/>
              </w:rPr>
            </w:pPr>
            <w:r>
              <w:t>Acabando con los silos de datosLas organizaciones van a eliminar los silos entre diferentes tipos de datos, con un enfoque de almacenamiento de datos unificado, que combina todos los tipos de datos de una empresa, tanto de entornos locales como en la nube. A medida que las empresas utilizan la analítica en sus procesos, descubren que sus arquitecturas de almacenamiento de datos existentes cuentan con flujos separados para cada tipo de datos, como datos de clientes, productos, proveedores y empleados. Como resultado, cada vez más organizaciones reconsiderarán sus arquitecturas de datos para consolidar flujos de datos y tratarlos como una única fuente.</w:t>
            </w:r>
          </w:p>
          <w:p>
            <w:pPr>
              <w:ind w:left="-284" w:right="-427"/>
              <w:jc w:val="both"/>
              <w:rPr>
                <w:rFonts/>
                <w:color w:val="262626" w:themeColor="text1" w:themeTint="D9"/>
              </w:rPr>
            </w:pPr>
            <w:r>
              <w:t>Una infraestructura de TI que funcionaLas organizaciones dejarán de considerar la nube como la solución definitiva para todos sus desafíos de infraestructura tecnológica. Muchas empresas experimentarán aumento, tanto de los plazos como de los presupuestos en sus migraciones a la nube, por lo que buscarán alternativas en arquitecturas híbridas y multinube para optimizar sus operaciones de TI.</w:t>
            </w:r>
          </w:p>
          <w:p>
            <w:pPr>
              <w:ind w:left="-284" w:right="-427"/>
              <w:jc w:val="both"/>
              <w:rPr>
                <w:rFonts/>
                <w:color w:val="262626" w:themeColor="text1" w:themeTint="D9"/>
              </w:rPr>
            </w:pPr>
            <w:r>
              <w:t>Las empresas cambiarán su enfoque, optando por una infraestructura de datos inteligente que fusione almacenamiento de datos unificado con capacidades integradas de gestión para conseguir seguridad y observabilidad dentro de una única plataforma.  Así conseguirán una mayor agilidad para adaptarse rápidamente a las dinámicas condiciones del mercado.</w:t>
            </w:r>
          </w:p>
          <w:p>
            <w:pPr>
              <w:ind w:left="-284" w:right="-427"/>
              <w:jc w:val="both"/>
              <w:rPr>
                <w:rFonts/>
                <w:color w:val="262626" w:themeColor="text1" w:themeTint="D9"/>
              </w:rPr>
            </w:pPr>
            <w:r>
              <w:t>Asumir que los datos ya han sido hackeadosFrente a las persistentes amenazas de ciberseguridad, las organizaciones deben replantear la forma en la que se recuperan de los ciberataques. </w:t>
            </w:r>
          </w:p>
          <w:p>
            <w:pPr>
              <w:ind w:left="-284" w:right="-427"/>
              <w:jc w:val="both"/>
              <w:rPr>
                <w:rFonts/>
                <w:color w:val="262626" w:themeColor="text1" w:themeTint="D9"/>
              </w:rPr>
            </w:pPr>
            <w:r>
              <w:t>Para 2031, se estima que se produzca un ataque de ransomware cada 2 segundos, con un coste anual para las víctimas de 265 mil millones de dólares. Como resultado, el 87% de los ejecutivos de nivel C y directivos consideran la protección contra ransomware como una prioridad alta o máxima en sus organizaciones, según el Informe de Complejidad de Datos 2023 de NetApp.</w:t>
            </w:r>
          </w:p>
          <w:p>
            <w:pPr>
              <w:ind w:left="-284" w:right="-427"/>
              <w:jc w:val="both"/>
              <w:rPr>
                <w:rFonts/>
                <w:color w:val="262626" w:themeColor="text1" w:themeTint="D9"/>
              </w:rPr>
            </w:pPr>
            <w:r>
              <w:t>La mayor amenaza para un negocio tras un ciberataque no radica tanto en el robo de datos, sino en el tiempo y los recursos invertidos en reparar sistemas y restablecer datos para reanudar las operaciones con normalidad. Para resguardar sus activos más críticos y garantizar la continuidad del negocio, se observará un aumento en la inversión en ciberseguridad para asegurar los sistemas de TI y reducir la interrupción del negocio ante un ciberataque. De esta forma, desempeñarán un papel crucial en mitigar la interrupción mientras se investiga la amenaza.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https://www.mexicopress.com.mx/netapp-analiza-como-se-gestionaran-los-datos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