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informa un crecimiento de la nube del 30% para el segundo trimestre de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Fuerte crecimiento en los ingresos operativos con un crecimiento anual superior al 200% en el flujo de efectivo de las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(NASDAQ: NICE) https://www.nice.com/ anunció los resultados del segundo trimestre que finalizó el 30 de junio de 2020.</w:t>
            </w:r>
          </w:p>
          <w:p>
            <w:pPr>
              <w:ind w:left="-284" w:right="-427"/>
              <w:jc w:val="both"/>
              <w:rPr>
                <w:rFonts/>
                <w:color w:val="262626" w:themeColor="text1" w:themeTint="D9"/>
              </w:rPr>
            </w:pPr>
            <w:r>
              <w:t>Aspectos financieros destacados del segundo trimestre de 20GAAP</w:t>
            </w:r>
          </w:p>
          <w:p>
            <w:pPr>
              <w:ind w:left="-284" w:right="-427"/>
              <w:jc w:val="both"/>
              <w:rPr>
                <w:rFonts/>
                <w:color w:val="262626" w:themeColor="text1" w:themeTint="D9"/>
              </w:rPr>
            </w:pPr>
            <w:r>
              <w:t>No GAAP:</w:t>
            </w:r>
          </w:p>
          <w:p>
            <w:pPr>
              <w:ind w:left="-284" w:right="-427"/>
              <w:jc w:val="both"/>
              <w:rPr>
                <w:rFonts/>
                <w:color w:val="262626" w:themeColor="text1" w:themeTint="D9"/>
              </w:rPr>
            </w:pPr>
            <w:r>
              <w:t>- Ingresos en la nube de $ 184 millones, crecimiento del 30% año tras año</w:t>
            </w:r>
          </w:p>
          <w:p>
            <w:pPr>
              <w:ind w:left="-284" w:right="-427"/>
              <w:jc w:val="both"/>
              <w:rPr>
                <w:rFonts/>
                <w:color w:val="262626" w:themeColor="text1" w:themeTint="D9"/>
              </w:rPr>
            </w:pPr>
            <w:r>
              <w:t>- Ingresos en la nube de $ 186 millones, crecimiento del 30% año tras año</w:t>
            </w:r>
          </w:p>
          <w:p>
            <w:pPr>
              <w:ind w:left="-284" w:right="-427"/>
              <w:jc w:val="both"/>
              <w:rPr>
                <w:rFonts/>
                <w:color w:val="262626" w:themeColor="text1" w:themeTint="D9"/>
              </w:rPr>
            </w:pPr>
            <w:r>
              <w:t>- Ingresos totales de $ 393 millones, crecimiento del 3% año tras año</w:t>
            </w:r>
          </w:p>
          <w:p>
            <w:pPr>
              <w:ind w:left="-284" w:right="-427"/>
              <w:jc w:val="both"/>
              <w:rPr>
                <w:rFonts/>
                <w:color w:val="262626" w:themeColor="text1" w:themeTint="D9"/>
              </w:rPr>
            </w:pPr>
            <w:r>
              <w:t>- Ingresos totales de $ 395 millones, crecimiento del 4% año tras año</w:t>
            </w:r>
          </w:p>
          <w:p>
            <w:pPr>
              <w:ind w:left="-284" w:right="-427"/>
              <w:jc w:val="both"/>
              <w:rPr>
                <w:rFonts/>
                <w:color w:val="262626" w:themeColor="text1" w:themeTint="D9"/>
              </w:rPr>
            </w:pPr>
            <w:r>
              <w:t>- Margen bruto del 65,5% frente al 65,6% del año pasado</w:t>
            </w:r>
          </w:p>
          <w:p>
            <w:pPr>
              <w:ind w:left="-284" w:right="-427"/>
              <w:jc w:val="both"/>
              <w:rPr>
                <w:rFonts/>
                <w:color w:val="262626" w:themeColor="text1" w:themeTint="D9"/>
              </w:rPr>
            </w:pPr>
            <w:r>
              <w:t>- Margen bruto del 71,0% frente al 70,9% del año pasado</w:t>
            </w:r>
          </w:p>
          <w:p>
            <w:pPr>
              <w:ind w:left="-284" w:right="-427"/>
              <w:jc w:val="both"/>
              <w:rPr>
                <w:rFonts/>
                <w:color w:val="262626" w:themeColor="text1" w:themeTint="D9"/>
              </w:rPr>
            </w:pPr>
            <w:r>
              <w:t>- Margen bruto de la nube del 56,2% en comparación con el 50,3% del año pasado</w:t>
            </w:r>
          </w:p>
          <w:p>
            <w:pPr>
              <w:ind w:left="-284" w:right="-427"/>
              <w:jc w:val="both"/>
              <w:rPr>
                <w:rFonts/>
                <w:color w:val="262626" w:themeColor="text1" w:themeTint="D9"/>
              </w:rPr>
            </w:pPr>
            <w:r>
              <w:t>- Margen bruto de la nube del 65,7% en comparación con el 61,4% del año pasado</w:t>
            </w:r>
          </w:p>
          <w:p>
            <w:pPr>
              <w:ind w:left="-284" w:right="-427"/>
              <w:jc w:val="both"/>
              <w:rPr>
                <w:rFonts/>
                <w:color w:val="262626" w:themeColor="text1" w:themeTint="D9"/>
              </w:rPr>
            </w:pPr>
            <w:r>
              <w:t>- Ingresos operativos de $ 56 millones en comparación con $ 53 millones el año pasado, un aumento del 5%</w:t>
            </w:r>
          </w:p>
          <w:p>
            <w:pPr>
              <w:ind w:left="-284" w:right="-427"/>
              <w:jc w:val="both"/>
              <w:rPr>
                <w:rFonts/>
                <w:color w:val="262626" w:themeColor="text1" w:themeTint="D9"/>
              </w:rPr>
            </w:pPr>
            <w:r>
              <w:t>- Ingresos operativos de $ 111 millones en comparación con $ 101 millones el año pasado, un aumento del 10%</w:t>
            </w:r>
          </w:p>
          <w:p>
            <w:pPr>
              <w:ind w:left="-284" w:right="-427"/>
              <w:jc w:val="both"/>
              <w:rPr>
                <w:rFonts/>
                <w:color w:val="262626" w:themeColor="text1" w:themeTint="D9"/>
              </w:rPr>
            </w:pPr>
            <w:r>
              <w:t>- Margen operativo del 14,3% frente al 14,1% del año pasado</w:t>
            </w:r>
          </w:p>
          <w:p>
            <w:pPr>
              <w:ind w:left="-284" w:right="-427"/>
              <w:jc w:val="both"/>
              <w:rPr>
                <w:rFonts/>
                <w:color w:val="262626" w:themeColor="text1" w:themeTint="D9"/>
              </w:rPr>
            </w:pPr>
            <w:r>
              <w:t>- Margen operativo del 28,2% frente al 26,6% del año pasado</w:t>
            </w:r>
          </w:p>
          <w:p>
            <w:pPr>
              <w:ind w:left="-284" w:right="-427"/>
              <w:jc w:val="both"/>
              <w:rPr>
                <w:rFonts/>
                <w:color w:val="262626" w:themeColor="text1" w:themeTint="D9"/>
              </w:rPr>
            </w:pPr>
            <w:r>
              <w:t>- BPA diluido de $ 0,68 frente a $ 0,65 el año pasado, 5% de crecimiento interanual</w:t>
            </w:r>
          </w:p>
          <w:p>
            <w:pPr>
              <w:ind w:left="-284" w:right="-427"/>
              <w:jc w:val="both"/>
              <w:rPr>
                <w:rFonts/>
                <w:color w:val="262626" w:themeColor="text1" w:themeTint="D9"/>
              </w:rPr>
            </w:pPr>
            <w:r>
              <w:t>- EPS diluido de $ 1.37 frente a $ 1.25 el año pasado, un crecimiento del 10% año tras año</w:t>
            </w:r>
          </w:p>
          <w:p>
            <w:pPr>
              <w:ind w:left="-284" w:right="-427"/>
              <w:jc w:val="both"/>
              <w:rPr>
                <w:rFonts/>
                <w:color w:val="262626" w:themeColor="text1" w:themeTint="D9"/>
              </w:rPr>
            </w:pPr>
            <w:r>
              <w:t>- Flujo de caja operativo de $ 60 millones en comparación con $ 18 millones el año pasado</w:t>
            </w:r>
          </w:p>
          <w:p>
            <w:pPr>
              <w:ind w:left="-284" w:right="-427"/>
              <w:jc w:val="both"/>
              <w:rPr>
                <w:rFonts/>
                <w:color w:val="262626" w:themeColor="text1" w:themeTint="D9"/>
              </w:rPr>
            </w:pPr>
            <w:r>
              <w:t>Es complaciente informar otro trimestre de crecimiento sólido y acelerado en la nube, los ingresos tuvieron un incremento del 30% respecto al año anterior, combinado con un aumento sustancial continuo en la rentabilidad, dijo Barak Eilam, director ejecutivo de NICE. El sólido rendimiento de la nube demuestra lo bien que se posiciona NICE, ya que las empresas de todos los tamaños se centran intensamente en la agilidad extrema en un entorno en constante cambio.</w:t>
            </w:r>
          </w:p>
          <w:p>
            <w:pPr>
              <w:ind w:left="-284" w:right="-427"/>
              <w:jc w:val="both"/>
              <w:rPr>
                <w:rFonts/>
                <w:color w:val="262626" w:themeColor="text1" w:themeTint="D9"/>
              </w:rPr>
            </w:pPr>
            <w:r>
              <w:t>El desempeño comercial reciente destaca que: 1) las soluciones son de misión crítica ahora más que nunca, 2) las plataformas en la nube son esenciales para permitir un modo de operación flexible de trabajo desde el hogar y 3), la nube y la transformación digital, que son el núcleo del negocio, ahora se está acelerando drásticamente en el mercado empresarial.</w:t>
            </w:r>
          </w:p>
          <w:p>
            <w:pPr>
              <w:ind w:left="-284" w:right="-427"/>
              <w:jc w:val="both"/>
              <w:rPr>
                <w:rFonts/>
                <w:color w:val="262626" w:themeColor="text1" w:themeTint="D9"/>
              </w:rPr>
            </w:pPr>
            <w:r>
              <w:t>Aspectos financieros destacados GAAP para el segundo trimestre que finalizó el 30 de junio:</w:t>
            </w:r>
          </w:p>
          <w:p>
            <w:pPr>
              <w:ind w:left="-284" w:right="-427"/>
              <w:jc w:val="both"/>
              <w:rPr>
                <w:rFonts/>
                <w:color w:val="262626" w:themeColor="text1" w:themeTint="D9"/>
              </w:rPr>
            </w:pPr>
            <w:r>
              <w:t>- Ingresos: los ingresos totales aumentaron 3.4% a $ 393.2 millones en comparación con $ 380.4 millones para el segundo trimestre de 2019.</w:t>
            </w:r>
          </w:p>
          <w:p>
            <w:pPr>
              <w:ind w:left="-284" w:right="-427"/>
              <w:jc w:val="both"/>
              <w:rPr>
                <w:rFonts/>
                <w:color w:val="262626" w:themeColor="text1" w:themeTint="D9"/>
              </w:rPr>
            </w:pPr>
            <w:r>
              <w:t>- Beneficio bruto: aumentó a $ 257,4 millones de $ 249,6 millones. El margen bruto del segundo trimestre de 2020 fue del 65,5% en comparación con el 65,6% del segundo trimestre de 2019.</w:t>
            </w:r>
          </w:p>
          <w:p>
            <w:pPr>
              <w:ind w:left="-284" w:right="-427"/>
              <w:jc w:val="both"/>
              <w:rPr>
                <w:rFonts/>
                <w:color w:val="262626" w:themeColor="text1" w:themeTint="D9"/>
              </w:rPr>
            </w:pPr>
            <w:r>
              <w:t>- Ingresos operativos: Los ingresos operativos y el margen operativo aumentaron a $56.1 millones y 14.3%, respectivamente, en comparación con $ 53.5 millones y 14.1% para el segundo trimestre de 2019.</w:t>
            </w:r>
          </w:p>
          <w:p>
            <w:pPr>
              <w:ind w:left="-284" w:right="-427"/>
              <w:jc w:val="both"/>
              <w:rPr>
                <w:rFonts/>
                <w:color w:val="262626" w:themeColor="text1" w:themeTint="D9"/>
              </w:rPr>
            </w:pPr>
            <w:r>
              <w:t>- Utilidad neta: la utilidad neta y el margen de utilidad neta aumentaron a $ 44,6 millones y 11,3%, respectivamente, en comparación con $ 42,1 millones y 11,1% para el segundo trimestre de 2019.</w:t>
            </w:r>
          </w:p>
          <w:p>
            <w:pPr>
              <w:ind w:left="-284" w:right="-427"/>
              <w:jc w:val="both"/>
              <w:rPr>
                <w:rFonts/>
                <w:color w:val="262626" w:themeColor="text1" w:themeTint="D9"/>
              </w:rPr>
            </w:pPr>
            <w:r>
              <w:t>- Ganancias por acción totalmente diluidas: aumentaron un 4,6% a $ 0,68, en comparación con $ 0,65 en el segundo trimestre de 2019.</w:t>
            </w:r>
          </w:p>
          <w:p>
            <w:pPr>
              <w:ind w:left="-284" w:right="-427"/>
              <w:jc w:val="both"/>
              <w:rPr>
                <w:rFonts/>
                <w:color w:val="262626" w:themeColor="text1" w:themeTint="D9"/>
              </w:rPr>
            </w:pPr>
            <w:r>
              <w:t>- Flujo de caja operativo y saldo de caja: el flujo de caja operativo fue de $ 59,6 millones. En el segundo trimestre se utilizaron $ 3,5 millones para recompras de acciones. Al 30 de junio de 2020, el efectivo total y equivalentes de efectivo, las inversiones a corto plazo fueron de $ 1,103 millones y la deuda total fue de $ 469.6 millones.</w:t>
            </w:r>
          </w:p>
          <w:p>
            <w:pPr>
              <w:ind w:left="-284" w:right="-427"/>
              <w:jc w:val="both"/>
              <w:rPr>
                <w:rFonts/>
                <w:color w:val="262626" w:themeColor="text1" w:themeTint="D9"/>
              </w:rPr>
            </w:pPr>
            <w:r>
              <w:t>Aspectos financieros destacados no GAAP para el segundo trimestre que finalizó el 30 de junio:</w:t>
            </w:r>
          </w:p>
          <w:p>
            <w:pPr>
              <w:ind w:left="-284" w:right="-427"/>
              <w:jc w:val="both"/>
              <w:rPr>
                <w:rFonts/>
                <w:color w:val="262626" w:themeColor="text1" w:themeTint="D9"/>
              </w:rPr>
            </w:pPr>
            <w:r>
              <w:t>- Ingresos: los ingresos totales no GAAP aumentaron a 395,1 millones de dólares, un 3,6% más que los 381,4 millones de dólares del segundo trimestre de 2019.</w:t>
            </w:r>
          </w:p>
          <w:p>
            <w:pPr>
              <w:ind w:left="-284" w:right="-427"/>
              <w:jc w:val="both"/>
              <w:rPr>
                <w:rFonts/>
                <w:color w:val="262626" w:themeColor="text1" w:themeTint="D9"/>
              </w:rPr>
            </w:pPr>
            <w:r>
              <w:t>- Ganancia bruta: la ganancia bruta y el margen bruto no GAAP aumentaron a $ 280.5 millones y 71%, respectivamente, de $ 270.5 millones y 70.9% para el segundo trimestre de 2019.</w:t>
            </w:r>
          </w:p>
          <w:p>
            <w:pPr>
              <w:ind w:left="-284" w:right="-427"/>
              <w:jc w:val="both"/>
              <w:rPr>
                <w:rFonts/>
                <w:color w:val="262626" w:themeColor="text1" w:themeTint="D9"/>
              </w:rPr>
            </w:pPr>
            <w:r>
              <w:t>- Ingresos operativos: los ingresos operativos no GAAP del segundo trimestre de 2020 y el margen operativo no GAAP aumentaron a $ 111,4 millones y 28,2%, respectivamente, de $ 101,3 millones y 26,6% para el segundo trimestre de 2019.</w:t>
            </w:r>
          </w:p>
          <w:p>
            <w:pPr>
              <w:ind w:left="-284" w:right="-427"/>
              <w:jc w:val="both"/>
              <w:rPr>
                <w:rFonts/>
                <w:color w:val="262626" w:themeColor="text1" w:themeTint="D9"/>
              </w:rPr>
            </w:pPr>
            <w:r>
              <w:t>- Ingresos netos: los ingresos netos no GAAP y el margen de ingresos netos no GAAP aumentaron a $ 89,9 millones y 22,7% de $ 80,9 millones y 21,2%, respectivamente, para el segundo trimestre de 2019.</w:t>
            </w:r>
          </w:p>
          <w:p>
            <w:pPr>
              <w:ind w:left="-284" w:right="-427"/>
              <w:jc w:val="both"/>
              <w:rPr>
                <w:rFonts/>
                <w:color w:val="262626" w:themeColor="text1" w:themeTint="D9"/>
              </w:rPr>
            </w:pPr>
            <w:r>
              <w:t>- Ganancias por acción totalmente diluidas: las ganancias por acción totalmente diluidas no GAAP aumentaron un 9,6% a $ 1,37, en comparación con $ 1,25 para el segundo trimestre de 2019.</w:t>
            </w:r>
          </w:p>
          <w:p>
            <w:pPr>
              <w:ind w:left="-284" w:right="-427"/>
              <w:jc w:val="both"/>
              <w:rPr>
                <w:rFonts/>
                <w:color w:val="262626" w:themeColor="text1" w:themeTint="D9"/>
              </w:rPr>
            </w:pPr>
            <w:r>
              <w:t>Orientación para el tercer trimestre de 2020Se espera que los ingresos totales no GAAP del tercer trimestre de 2020 estén en un rango de $ 403 millones a $ 413 millones. Se espera que las ganancias por acción totalmente diluidas no GAAP del tercer trimestre de 2020 estén en un rango de $ 1,33 a $ 1,43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https://www.mexicopress.com.mx/nice-informa-un-crecimiento-de-la-nube-del-30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