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informa un crecimiento récord de la nube del 35% para el tercer trimestre de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tasa anualizada de ejecución de ingresos en la nube supera los $ 800 millones. La nube representa el 50% de los ingresos totales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(NASDAQ: NICE). www.nice.com anunció los resultados para el tercer trimestre finalizado el 30 de septiembre de 2020 y destacó los aspectos financieros más importantes del periodo.</w:t>
            </w:r>
          </w:p>
          <w:p>
            <w:pPr>
              <w:ind w:left="-284" w:right="-427"/>
              <w:jc w:val="both"/>
              <w:rPr>
                <w:rFonts/>
                <w:color w:val="262626" w:themeColor="text1" w:themeTint="D9"/>
              </w:rPr>
            </w:pPr>
            <w:r>
              <w:t>GAAP</w:t>
            </w:r>
          </w:p>
          <w:p>
            <w:pPr>
              <w:ind w:left="-284" w:right="-427"/>
              <w:jc w:val="both"/>
              <w:rPr>
                <w:rFonts/>
                <w:color w:val="262626" w:themeColor="text1" w:themeTint="D9"/>
              </w:rPr>
            </w:pPr>
            <w:r>
              <w:t>Non-GAAP</w:t>
            </w:r>
          </w:p>
          <w:p>
            <w:pPr>
              <w:ind w:left="-284" w:right="-427"/>
              <w:jc w:val="both"/>
              <w:rPr>
                <w:rFonts/>
                <w:color w:val="262626" w:themeColor="text1" w:themeTint="D9"/>
              </w:rPr>
            </w:pPr>
            <w:r>
              <w:t>Ingresos en la nube de $ 202 millones, crecimiento del 34% año tras año</w:t>
            </w:r>
          </w:p>
          <w:p>
            <w:pPr>
              <w:ind w:left="-284" w:right="-427"/>
              <w:jc w:val="both"/>
              <w:rPr>
                <w:rFonts/>
                <w:color w:val="262626" w:themeColor="text1" w:themeTint="D9"/>
              </w:rPr>
            </w:pPr>
            <w:r>
              <w:t>Ingresos en la nube de $ 204 millones, crecimiento del 35% año tras año</w:t>
            </w:r>
          </w:p>
          <w:p>
            <w:pPr>
              <w:ind w:left="-284" w:right="-427"/>
              <w:jc w:val="both"/>
              <w:rPr>
                <w:rFonts/>
                <w:color w:val="262626" w:themeColor="text1" w:themeTint="D9"/>
              </w:rPr>
            </w:pPr>
            <w:r>
              <w:t>Ingresos totales de $ 410 millones, crecimiento del 6% año tras año</w:t>
            </w:r>
          </w:p>
          <w:p>
            <w:pPr>
              <w:ind w:left="-284" w:right="-427"/>
              <w:jc w:val="both"/>
              <w:rPr>
                <w:rFonts/>
                <w:color w:val="262626" w:themeColor="text1" w:themeTint="D9"/>
              </w:rPr>
            </w:pPr>
            <w:r>
              <w:t>Ingresos totales de $ 412 millones, crecimiento del 7% año tras año</w:t>
            </w:r>
          </w:p>
          <w:p>
            <w:pPr>
              <w:ind w:left="-284" w:right="-427"/>
              <w:jc w:val="both"/>
              <w:rPr>
                <w:rFonts/>
                <w:color w:val="262626" w:themeColor="text1" w:themeTint="D9"/>
              </w:rPr>
            </w:pPr>
            <w:r>
              <w:t>Margen bruto del 65,8% frente al 65,7% del año pasado</w:t>
            </w:r>
          </w:p>
          <w:p>
            <w:pPr>
              <w:ind w:left="-284" w:right="-427"/>
              <w:jc w:val="both"/>
              <w:rPr>
                <w:rFonts/>
                <w:color w:val="262626" w:themeColor="text1" w:themeTint="D9"/>
              </w:rPr>
            </w:pPr>
            <w:r>
              <w:t>Margen bruto del 71% frente al 70,9% del año pasado</w:t>
            </w:r>
          </w:p>
          <w:p>
            <w:pPr>
              <w:ind w:left="-284" w:right="-427"/>
              <w:jc w:val="both"/>
              <w:rPr>
                <w:rFonts/>
                <w:color w:val="262626" w:themeColor="text1" w:themeTint="D9"/>
              </w:rPr>
            </w:pPr>
            <w:r>
              <w:t>Margen bruto de la nube del 56,6% en comparación con el 51,6% del año pasado</w:t>
            </w:r>
          </w:p>
          <w:p>
            <w:pPr>
              <w:ind w:left="-284" w:right="-427"/>
              <w:jc w:val="both"/>
              <w:rPr>
                <w:rFonts/>
                <w:color w:val="262626" w:themeColor="text1" w:themeTint="D9"/>
              </w:rPr>
            </w:pPr>
            <w:r>
              <w:t>Margen bruto de la nube del 65,6% en comparación con el 61,9% del año pasado</w:t>
            </w:r>
          </w:p>
          <w:p>
            <w:pPr>
              <w:ind w:left="-284" w:right="-427"/>
              <w:jc w:val="both"/>
              <w:rPr>
                <w:rFonts/>
                <w:color w:val="262626" w:themeColor="text1" w:themeTint="D9"/>
              </w:rPr>
            </w:pPr>
            <w:r>
              <w:t>Ingresos operativos de $ 62 millones en comparación con $ 56 millones el año pasado, un aumento del 11%</w:t>
            </w:r>
          </w:p>
          <w:p>
            <w:pPr>
              <w:ind w:left="-284" w:right="-427"/>
              <w:jc w:val="both"/>
              <w:rPr>
                <w:rFonts/>
                <w:color w:val="262626" w:themeColor="text1" w:themeTint="D9"/>
              </w:rPr>
            </w:pPr>
            <w:r>
              <w:t>Ingresos operativos de $ 117 millones en comparación con $ 106 millones el año pasado, un aumento del 10%</w:t>
            </w:r>
          </w:p>
          <w:p>
            <w:pPr>
              <w:ind w:left="-284" w:right="-427"/>
              <w:jc w:val="both"/>
              <w:rPr>
                <w:rFonts/>
                <w:color w:val="262626" w:themeColor="text1" w:themeTint="D9"/>
              </w:rPr>
            </w:pPr>
            <w:r>
              <w:t>Margen operativo del 15,1% frente al 14,4% del año pasado</w:t>
            </w:r>
          </w:p>
          <w:p>
            <w:pPr>
              <w:ind w:left="-284" w:right="-427"/>
              <w:jc w:val="both"/>
              <w:rPr>
                <w:rFonts/>
                <w:color w:val="262626" w:themeColor="text1" w:themeTint="D9"/>
              </w:rPr>
            </w:pPr>
            <w:r>
              <w:t>Margen operativo del 28,3% frente al 27,4% del año pasado</w:t>
            </w:r>
          </w:p>
          <w:p>
            <w:pPr>
              <w:ind w:left="-284" w:right="-427"/>
              <w:jc w:val="both"/>
              <w:rPr>
                <w:rFonts/>
                <w:color w:val="262626" w:themeColor="text1" w:themeTint="D9"/>
              </w:rPr>
            </w:pPr>
            <w:r>
              <w:t>EPS diluido de $ 0,76 frente a $ 0,69 el año pasado, un crecimiento interanual del 10%</w:t>
            </w:r>
          </w:p>
          <w:p>
            <w:pPr>
              <w:ind w:left="-284" w:right="-427"/>
              <w:jc w:val="both"/>
              <w:rPr>
                <w:rFonts/>
                <w:color w:val="262626" w:themeColor="text1" w:themeTint="D9"/>
              </w:rPr>
            </w:pPr>
            <w:r>
              <w:t>BPA diluido de $ 1.41 frente a $ 1.30 el año pasado, 8% de crecimiento año tras año</w:t>
            </w:r>
          </w:p>
          <w:p>
            <w:pPr>
              <w:ind w:left="-284" w:right="-427"/>
              <w:jc w:val="both"/>
              <w:rPr>
                <w:rFonts/>
                <w:color w:val="262626" w:themeColor="text1" w:themeTint="D9"/>
              </w:rPr>
            </w:pPr>
            <w:r>
              <w:t>Flujo de caja operativo de $ 99 millones en comparación con $ 82 millones el año pasado</w:t>
            </w:r>
          </w:p>
          <w:p>
            <w:pPr>
              <w:ind w:left="-284" w:right="-427"/>
              <w:jc w:val="both"/>
              <w:rPr>
                <w:rFonts/>
                <w:color w:val="262626" w:themeColor="text1" w:themeTint="D9"/>
              </w:rPr>
            </w:pPr>
            <w:r>
              <w:t>Es complaciente informar de un tercer trimestre muy sólido impulsado por la rápida aceleración continua del negocio en la nube, dijo Barak Eilam, director ejecutivo de NICE. La nube creció un 35% récord y ahora representa el 50% de los ingresos totales, lo cual es un hito importante para NICE. se logró un crecimiento secuencial del 10% en la nube en comparación con el segundo trimestre de este año, y ya superamos la tasa de ejecución de ingresos en la nube de más de 800 millones de dólares que se había esperado originalmente para fin de año.</w:t>
            </w:r>
          </w:p>
          <w:p>
            <w:pPr>
              <w:ind w:left="-284" w:right="-427"/>
              <w:jc w:val="both"/>
              <w:rPr>
                <w:rFonts/>
                <w:color w:val="262626" w:themeColor="text1" w:themeTint="D9"/>
              </w:rPr>
            </w:pPr>
            <w:r>
              <w:t>La aceleración en el crecimiento de esta nube está siendo impulsada por varios factores, incluido el crecimiento sustancial de nuevos clientes, la rápida adopción por parte de las grandes empresas, las nuevas verticales que adoptan el servicio remoto y la transformación digital que se ha convertido en el centro de atención de las organizaciones. de todos los tamaños. Se pudo ver un aumento de más del 50% en nuevos clientes en comparación con el mismo trimestre del año pasado. Además, se vio un aumento secuencial del 91% en los volúmenes digitales de CXone y un aumento del 154% año tras año, lo que confirma la fortaleza de un liderazgo en digital, afirmó Eilam.</w:t>
            </w:r>
          </w:p>
          <w:p>
            <w:pPr>
              <w:ind w:left="-284" w:right="-427"/>
              <w:jc w:val="both"/>
              <w:rPr>
                <w:rFonts/>
                <w:color w:val="262626" w:themeColor="text1" w:themeTint="D9"/>
              </w:rPr>
            </w:pPr>
            <w:r>
              <w:t>Aspectos financieros destacados de GAAP para el tercer trimestre que finalizó el 30 de septiembre:</w:t>
            </w:r>
          </w:p>
          <w:p>
            <w:pPr>
              <w:ind w:left="-284" w:right="-427"/>
              <w:jc w:val="both"/>
              <w:rPr>
                <w:rFonts/>
                <w:color w:val="262626" w:themeColor="text1" w:themeTint="D9"/>
              </w:rPr>
            </w:pPr>
            <w:r>
              <w:t>Ingresos: los ingresos totales del tercer trimestre de 2020 aumentaron un 6.1% a $ 409.8 millones en comparación con $ 386.3 millones para el tercer trimestre de 2019.</w:t>
            </w:r>
          </w:p>
          <w:p>
            <w:pPr>
              <w:ind w:left="-284" w:right="-427"/>
              <w:jc w:val="both"/>
              <w:rPr>
                <w:rFonts/>
                <w:color w:val="262626" w:themeColor="text1" w:themeTint="D9"/>
              </w:rPr>
            </w:pPr>
            <w:r>
              <w:t>Utilidad bruta: la utilidad bruta y el margen bruto del tercer trimestre de 2020 aumentaron a $ 269,7 millones y 65,8%, respectivamente, en comparación con $ 253,6 millones y 65,7%, respectivamente, para el tercer trimestre de 2019.</w:t>
            </w:r>
          </w:p>
          <w:p>
            <w:pPr>
              <w:ind w:left="-284" w:right="-427"/>
              <w:jc w:val="both"/>
              <w:rPr>
                <w:rFonts/>
                <w:color w:val="262626" w:themeColor="text1" w:themeTint="D9"/>
              </w:rPr>
            </w:pPr>
            <w:r>
              <w:t>Ingresos operativos: Los ingresos operativos y el margen operativo del tercer trimestre de 2020 aumentaron a $ 62.0 millones y 15.1%, respectivamente, en comparación con $ 55.7 millones y 14.4%, respectivamente, para el tercer trimestre de 2019.</w:t>
            </w:r>
          </w:p>
          <w:p>
            <w:pPr>
              <w:ind w:left="-284" w:right="-427"/>
              <w:jc w:val="both"/>
              <w:rPr>
                <w:rFonts/>
                <w:color w:val="262626" w:themeColor="text1" w:themeTint="D9"/>
              </w:rPr>
            </w:pPr>
            <w:r>
              <w:t>Utilidad neta: la utilidad neta y el margen de utilidad neta del tercer trimestre de 2020 aumentaron a $ 50,7 millones y 12,4%, respectivamente, en comparación con $ 45,0 millones y 11,7%, respectivamente, para el tercer trimestre de 2019.</w:t>
            </w:r>
          </w:p>
          <w:p>
            <w:pPr>
              <w:ind w:left="-284" w:right="-427"/>
              <w:jc w:val="both"/>
              <w:rPr>
                <w:rFonts/>
                <w:color w:val="262626" w:themeColor="text1" w:themeTint="D9"/>
              </w:rPr>
            </w:pPr>
            <w:r>
              <w:t>Ganancias por acción totalmente diluidas: aumentaron un 10,1% a $ 0,76, en comparación con $ 0,69 en el tercer trimestre de 2019.</w:t>
            </w:r>
          </w:p>
          <w:p>
            <w:pPr>
              <w:ind w:left="-284" w:right="-427"/>
              <w:jc w:val="both"/>
              <w:rPr>
                <w:rFonts/>
                <w:color w:val="262626" w:themeColor="text1" w:themeTint="D9"/>
              </w:rPr>
            </w:pPr>
            <w:r>
              <w:t>Flujo de efectivo operativo y saldo de efectivo: fue de $ 99.0 millones. Al 30 de septiembre de 2020, el efectivo total y equivalentes de efectivo, las inversiones a corto plazo fueron de $ 1,542.5 millones y la deuda total fue de $ 891.3 millones.</w:t>
            </w:r>
          </w:p>
          <w:p>
            <w:pPr>
              <w:ind w:left="-284" w:right="-427"/>
              <w:jc w:val="both"/>
              <w:rPr>
                <w:rFonts/>
                <w:color w:val="262626" w:themeColor="text1" w:themeTint="D9"/>
              </w:rPr>
            </w:pPr>
            <w:r>
              <w:t>Aspectos financieros no GAAP para el tercer trimestre que finalizó el 30 de septiembre:</w:t>
            </w:r>
          </w:p>
          <w:p>
            <w:pPr>
              <w:ind w:left="-284" w:right="-427"/>
              <w:jc w:val="both"/>
              <w:rPr>
                <w:rFonts/>
                <w:color w:val="262626" w:themeColor="text1" w:themeTint="D9"/>
              </w:rPr>
            </w:pPr>
            <w:r>
              <w:t>Ingresos: los ingresos totales no GAAP del tercer trimestre de 2020 aumentaron a 412,4 millones de dólares, un 6,5% más que los 387,1 millones de dólares del tercer trimestre de 2019.</w:t>
            </w:r>
          </w:p>
          <w:p>
            <w:pPr>
              <w:ind w:left="-284" w:right="-427"/>
              <w:jc w:val="both"/>
              <w:rPr>
                <w:rFonts/>
                <w:color w:val="262626" w:themeColor="text1" w:themeTint="D9"/>
              </w:rPr>
            </w:pPr>
            <w:r>
              <w:t>Ganancia bruta: la ganancia y el margen brutos no GAAP del tercer trimestre de 2020 aumentaron a $ 292,9 millones y 71,0%, respectivamente, de $ 274,4 millones y 70,9%, respectivamente, para el tercer trimestre de 2019.</w:t>
            </w:r>
          </w:p>
          <w:p>
            <w:pPr>
              <w:ind w:left="-284" w:right="-427"/>
              <w:jc w:val="both"/>
              <w:rPr>
                <w:rFonts/>
                <w:color w:val="262626" w:themeColor="text1" w:themeTint="D9"/>
              </w:rPr>
            </w:pPr>
            <w:r>
              <w:t>Ingresos operativos: los ingresos operativos no GAAP del tercer trimestre de 2020 y el margen operativo no GAAP aumentaron a $ 116,8 millones y 28,3%, respectivamente, de $ 105,9 millones y 27,4%, respectivamente, para el tercer trimestre de 2019.</w:t>
            </w:r>
          </w:p>
          <w:p>
            <w:pPr>
              <w:ind w:left="-284" w:right="-427"/>
              <w:jc w:val="both"/>
              <w:rPr>
                <w:rFonts/>
                <w:color w:val="262626" w:themeColor="text1" w:themeTint="D9"/>
              </w:rPr>
            </w:pPr>
            <w:r>
              <w:t>Ingresos netos: los ingresos netos no GAAP del tercer trimestre de 2020 y el margen de ingresos netos no GAAP aumentaron a $ 93,6 millones y 22,7%, respectivamente, de $ 84,3 millones y 21,8%, respectivamente, para el tercer trimestre de 2019.</w:t>
            </w:r>
          </w:p>
          <w:p>
            <w:pPr>
              <w:ind w:left="-284" w:right="-427"/>
              <w:jc w:val="both"/>
              <w:rPr>
                <w:rFonts/>
                <w:color w:val="262626" w:themeColor="text1" w:themeTint="D9"/>
              </w:rPr>
            </w:pPr>
            <w:r>
              <w:t>Ganancias por acción totalmente diluidas: las ganancias por acción totalmente diluidas no GAAP del tercer trimestre de 2020 aumentaron un 8,5% a $ 1,41, en comparación con $ 1,30 para el tercer trimestre de 2019.</w:t>
            </w:r>
          </w:p>
          <w:p>
            <w:pPr>
              <w:ind w:left="-284" w:right="-427"/>
              <w:jc w:val="both"/>
              <w:rPr>
                <w:rFonts/>
                <w:color w:val="262626" w:themeColor="text1" w:themeTint="D9"/>
              </w:rPr>
            </w:pPr>
            <w:r>
              <w:t>La orientación para el año 2020 se espera que sean ingresos totales no GAAP en un rango de $ 1,645 millones a $ 1,655 millones. Se espera que las ganancias por acción completamente diluidas no GAAP para todo el año 2020 estén en un rango de $ 5.63 a $ 5.73.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+ 52 55 1447 8677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https://www.mexicopress.com.mx/nice-informa-un-crecimiento-record-de-la-nube_1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