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01/02/2024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Panorama financiero y económico para las empresas en el 2024 por De la Paz, Costemalle DFK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el 2024 se presentarán cambios normativos en regulación financiera y fiscal que seguramente impactarán de forma no tan positiva las operaciones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año 2024 ha comenzado y la inquietud empresarial acerca de la estabilidad financiera es evidente entre los líderes de las empresas del sector privado. En De la Paz, Costemalle – DFK, se llevó a cabo un análisis considerando el panorama nacional e internacional, que incluye aspectos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conflicto Israel-Hamas, que se extiende regionalmente con la participación de los hutíes de Yemen.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continuación del conflicto en Ucrania, con la incertidumbre sobre su conclusión debido a la posición intransigente de Rusia y el apoyo fluctuante a Ucrania.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elecciones presidenciales en Estados Unidos.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introducción de ETFs en criptomonedas en Estados Unidos, con implicaciones para el mundo de las inversiones, aunque se ha observado una caída del 10% en el valor de Bitcoin desde su entrada.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nivel local en México, se destacan: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inseguridad rampante, sin control aparente y con autoridades que enfrentan dificultades para detener a los responsables.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ambiente politizado relacionado con las elecciones del 6 de junio.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situación se espera que genere más volatilidad en los mercados financieros, y en De la Paz, Costemalle DFK, reconocen la importancia de crear un plan de acción para que las empresas puedan enfrentarla de la mejor manera posible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variables clave identificadas en los mercados financieros se encuentra la inflación, que ha aumentado a un 4.66%. Por tercer mes consecutivo, la inflación al consumidor subió con respecto al mismo mes del 2022, lo que complica a Banxico al no permitirle bajar la tasa de referencia en el primer semestre del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el dólar se está revaluando marginalmente en los últimos días, con perspectivas estables (promedio de $17 pesos por dólar para 2024). Esta situación influye directa o indirectamente en la economía y finanzas de los clientes, por lo que es crucial crear diferentes escenarios de acción para asegurar una "estabilidad financiera".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Paz, Costemalle – DFK, recomiendan algunas medidas para enfrentar la volatilidad financiera, tales como la diversificación de activos, la gestión de riesgos mediante estrategias como la cobertura, y el monitoreo constante de la situación financiera propia y de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2024 se presentarán cambios normativos en regulación financiera y fiscal que seguramente impactarán de forma no tan positiva las operaciones.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digitalización y monedas digitales de bancos centrales son una tendencia que está ganando impulso en todo el mundo y México no es la excepción, sabiendo que tendrán impacto significativo.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moneda digital de un banco central tiene beneficios al evitar la impresión/acuñación de la moneda, así como la logística de su distribución, siendo más eficiente y de mayor alcance para la población, incluso la no usuaria del sistema financiero (mayor inclusión financiera).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Trazabilidad infinita de las operaciones, mejorando la supervisión/control y dificultando las actividades ilegales.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técnicamente posible con la tecnología blockchain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Tomando lo anterior con un granito de sal, pues conlleva riesgos ya conocidos, como el impacto o transformación veloz del sector financiero tradicional, los fraudes, ciberataques, educación de la población, infraestructura y enorme consumo de energía sin intermitencias, segura y limpia, para que todo funcione.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 la Paz, Costemalle DFK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https://www.mexicopress.com.mx/panorama-financiero-y-economico-para-las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Finanzas Estado de México Bolsa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