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22/07/2021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Planificación Energética, Seguridad del Suministro y Transición Energética por Acclaim Energy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la costa oeste de Canadá y el noroeste de EE. UU. están experimentando temperaturas récord con el inicio del verano de 2021. Texas y California tuvieron olas de calor a principios de junio que provocaron la emisión de órdenes de conservación de energía y alertas operativas por parte de los Operadores Independientes de Sistemas (ISOs por sus siglas en inglés) de los dos estados más poblados de los EE. UU para evitar interrupciones en el suministro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opinión de Victor Ureta, Director de Operaciones y Riesgos de Acclaim Energy México: Actualmente, la costa oeste de Canadá y el noroeste de EE. UU. están experimentando temperaturas récord con el inicio del verano de 2021. Texas y California tuvieron olas de calor a principios de junio que provocaron la emisión de órdenes de conservación de energía y alertas operativas por parte de los Operadores Independientes de Sistemas (ISOs por sus siglas en inglés) de los dos estados más poblados de los EE. UU para evitar interrupciones en el suministro. Este problema se produce después de la ola fría extrema de febrero.</w:t>
            </w:r>
          </w:p>
          <w:p>
            <w:pPr>
              <w:ind w:left="-284" w:right="-427"/>
              <w:jc w:val="both"/>
              <w:rPr>
                <w:rFonts/>
                <w:color w:val="262626" w:themeColor="text1" w:themeTint="D9"/>
              </w:rPr>
            </w:pPr>
            <w:r>
              <w:t>Existen argumentos que hay demasiada generación renovable, mientras que otras personas culpan a la mala planificación en el diseño del mercado y/o infraestructura eléctrica. Independientemente de cuál sea la verdadera razón, la realidad es que los ISOs, organismos de políticas públicas, y los usuarios finales de todo el mundo se encuentran revisando nuevas políticas, escenarios de planificación y estrategias de suministro de energía.</w:t>
            </w:r>
          </w:p>
          <w:p>
            <w:pPr>
              <w:ind w:left="-284" w:right="-427"/>
              <w:jc w:val="both"/>
              <w:rPr>
                <w:rFonts/>
                <w:color w:val="262626" w:themeColor="text1" w:themeTint="D9"/>
              </w:rPr>
            </w:pPr>
            <w:r>
              <w:t>El reto será desarrollar una infraestructura eléctrica resiliente, baja en emisiones carbono y eficiente que pueda garantizar el suministro energético con cierto parecido con el llamado “triángulo de gestión de negocios y proyectos” por el cual las empresas y los consumidores sólo pueden lograr proyectos, productos o servicios dos de estos tres conceptos: bueno, bonito y barato. Esto significa que el principal reto es determinar el costo-beneficio y el efecto a largo plazo.</w:t>
            </w:r>
          </w:p>
          <w:p>
            <w:pPr>
              <w:ind w:left="-284" w:right="-427"/>
              <w:jc w:val="both"/>
              <w:rPr>
                <w:rFonts/>
                <w:color w:val="262626" w:themeColor="text1" w:themeTint="D9"/>
              </w:rPr>
            </w:pPr>
            <w:r>
              <w:t>Una forma de superar este problema es la planeación anticipada, considerando los posibles escenarios y las tendencias actuales, para que puedan enfrentarse a estos problemas complejos de manera lógica. En este contexto, surgen factores fundamentales para el desarrollo de escenarios de planificación:</w:t>
            </w:r>
          </w:p>
          <w:p>
            <w:pPr>
              <w:ind w:left="-284" w:right="-427"/>
              <w:jc w:val="both"/>
              <w:rPr>
                <w:rFonts/>
                <w:color w:val="262626" w:themeColor="text1" w:themeTint="D9"/>
              </w:rPr>
            </w:pPr>
            <w:r>
              <w:t>La mayor frecuencia e intensidad de eventos climáticos extremos y graves ocurran, lo que pondrá a prueba la resiliencia de la infraestructura eléctrica</w:t>
            </w:r>
          </w:p>
          <w:p>
            <w:pPr>
              <w:ind w:left="-284" w:right="-427"/>
              <w:jc w:val="both"/>
              <w:rPr>
                <w:rFonts/>
                <w:color w:val="262626" w:themeColor="text1" w:themeTint="D9"/>
              </w:rPr>
            </w:pPr>
            <w:r>
              <w:t>La demanda de generación renovable a pequeña y gran escala continuará creciendo a medida que los usuarios industriales, comerciales y residenciales intenten reducir su huella de carbono y sus costos</w:t>
            </w:r>
          </w:p>
          <w:p>
            <w:pPr>
              <w:ind w:left="-284" w:right="-427"/>
              <w:jc w:val="both"/>
              <w:rPr>
                <w:rFonts/>
                <w:color w:val="262626" w:themeColor="text1" w:themeTint="D9"/>
              </w:rPr>
            </w:pPr>
            <w:r>
              <w:t>Los usuarios industriales y comerciales adoptan el modelo de suministro de energía descentralizado a través de proyectos de generación en sitio</w:t>
            </w:r>
          </w:p>
          <w:p>
            <w:pPr>
              <w:ind w:left="-284" w:right="-427"/>
              <w:jc w:val="both"/>
              <w:rPr>
                <w:rFonts/>
                <w:color w:val="262626" w:themeColor="text1" w:themeTint="D9"/>
              </w:rPr>
            </w:pPr>
            <w:r>
              <w:t>El aumento de la electrificación del transporte se traducirá en el probable aumento posterior de la demanda</w:t>
            </w:r>
          </w:p>
          <w:p>
            <w:pPr>
              <w:ind w:left="-284" w:right="-427"/>
              <w:jc w:val="both"/>
              <w:rPr>
                <w:rFonts/>
                <w:color w:val="262626" w:themeColor="text1" w:themeTint="D9"/>
              </w:rPr>
            </w:pPr>
            <w:r>
              <w:t>La tendencia es crear una tarifa eléctrica que:</w:t>
            </w:r>
          </w:p>
          <w:p>
            <w:pPr>
              <w:ind w:left="-284" w:right="-427"/>
              <w:jc w:val="both"/>
              <w:rPr>
                <w:rFonts/>
                <w:color w:val="262626" w:themeColor="text1" w:themeTint="D9"/>
              </w:rPr>
            </w:pPr>
            <w:r>
              <w:t>Proporcione a las empresas eléctricas una fuente estable de ingresos en mercado con grandes variaciones en demanda</w:t>
            </w:r>
          </w:p>
          <w:p>
            <w:pPr>
              <w:ind w:left="-284" w:right="-427"/>
              <w:jc w:val="both"/>
              <w:rPr>
                <w:rFonts/>
                <w:color w:val="262626" w:themeColor="text1" w:themeTint="D9"/>
              </w:rPr>
            </w:pPr>
            <w:r>
              <w:t>Proporcione ingresos suficientes para mantener y desarrollar la red eléctrica</w:t>
            </w:r>
          </w:p>
          <w:p>
            <w:pPr>
              <w:ind w:left="-284" w:right="-427"/>
              <w:jc w:val="both"/>
              <w:rPr>
                <w:rFonts/>
                <w:color w:val="262626" w:themeColor="text1" w:themeTint="D9"/>
              </w:rPr>
            </w:pPr>
            <w:r>
              <w:t>Incentive a los usuarios finales a seguir participando en la conservación de la energía y en programas de eficiencia energética</w:t>
            </w:r>
          </w:p>
          <w:p>
            <w:pPr>
              <w:ind w:left="-284" w:right="-427"/>
              <w:jc w:val="both"/>
              <w:rPr>
                <w:rFonts/>
                <w:color w:val="262626" w:themeColor="text1" w:themeTint="D9"/>
              </w:rPr>
            </w:pPr>
            <w:r>
              <w:t>Es un problema es complejo, sin embargo cualquier decisión de planificación de políticas gubernamentales y de los ISOs debe ser lo suficientemente inclusiva y flexible como para adaptarse a las complejidades de la red y a los cambios en las condiciones del mercado impulsados por el consumo debido a preferencias o imprevistos.</w:t>
            </w:r>
          </w:p>
          <w:p>
            <w:pPr>
              <w:ind w:left="-284" w:right="-427"/>
              <w:jc w:val="both"/>
              <w:rPr>
                <w:rFonts/>
                <w:color w:val="262626" w:themeColor="text1" w:themeTint="D9"/>
              </w:rPr>
            </w:pPr>
            <w:r>
              <w:t>Conoce más en el Reporte de Mercado Mensual de Acclaim Energy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Victor Ureta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 (713) 858 2773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https://www.mexicopress.com.mx/planificacion-energetica-seguridad-del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Consumo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