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18/10/2023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Ternium reconocimiento Steelie Awards 2023 en la categoría de Excelencia en Educación y Capacitación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ganador fue un simulador de colada continua. El objetivo del proyecto es capacitar a los operadores, recreando situaciones del día a día en actividades de colada continua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fue reconocido en los Steelie Awards 2023 en la categoría Excelencia en Educación y Capacitación por el proyecto del simulador de colada continua desarrollado en su planta de Brasil.</w:t>
            </w:r>
          </w:p>
          <w:p>
            <w:pPr>
              <w:ind w:left="-284" w:right="-427"/>
              <w:jc w:val="both"/>
              <w:rPr>
                <w:rFonts/>
                <w:color w:val="262626" w:themeColor="text1" w:themeTint="D9"/>
              </w:rPr>
            </w:pPr>
            <w:r>
              <w:t>El simulador fue desarrollado con realidad virtual y simulación mixta con partes físicas para transmitir la sensación de operar un equipo en tiempo real. Tiene como objetivo capacitar a los operadores, recreando situaciones del día a día en actividades de colada continua, que es el proceso metalúrgico que permite la transformación del metal líquido a alta temperatura a sólido para la obtención de productos semi-terminados.</w:t>
            </w:r>
          </w:p>
          <w:p>
            <w:pPr>
              <w:ind w:left="-284" w:right="-427"/>
              <w:jc w:val="both"/>
              <w:rPr>
                <w:rFonts/>
                <w:color w:val="262626" w:themeColor="text1" w:themeTint="D9"/>
              </w:rPr>
            </w:pPr>
            <w:r>
              <w:t>"Agradecemos a WorldSteel por este reconocimiento que es un reflejo de la importancia que le damos en Ternium a la excelencia industrial, donde la capacitación, la seguridad y la calidad, son sus ejes fundamentales", comentó Máximo Vedoya, CEO de Ternium.</w:t>
            </w:r>
          </w:p>
          <w:p>
            <w:pPr>
              <w:ind w:left="-284" w:right="-427"/>
              <w:jc w:val="both"/>
              <w:rPr>
                <w:rFonts/>
                <w:color w:val="262626" w:themeColor="text1" w:themeTint="D9"/>
              </w:rPr>
            </w:pPr>
            <w:r>
              <w:t>Esta es la tercera vez que Ternium recibe el premio Steelie Award, bajo la misma categoría. Los premios Steelie Awards son organizados por la Asociación Mundial del Acero y se entregan desde 2013 a proyectos que contribuyen al posicionamiento de esta industria. </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México desarrolla actividades industriales en todo el territorio nacional.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https://www.mexicopress.com.mx/recibe-ternium-reconocimiento-steelie-awards_1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Premios Industria Minera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