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RLH Properties: El sector inmobiliario, gran apuesta en la inversión de residencias de lujo y ultralujo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2021 la comercialización de vivienda de lujo se incrementó un 48% contra el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industria inmobiliaria, el segmento residencial de lujo se ha sabido mantener. Según la Comisión Nacional de Vivienda (Conavi) en los primeros nueve meses de 2021, las ventas de este segmento de inmuebles, reportó incremento en varios estados a pesar de la pandemia. Para quienes buscan invertir sus ahorros en activos, el mercado inmobiliario de vivienda de lujo y ultralujo se ha vuelto un refugio financiero, siendo clave frente a una inflación del 7%.</w:t>
            </w:r>
          </w:p>
          <w:p>
            <w:pPr>
              <w:ind w:left="-284" w:right="-427"/>
              <w:jc w:val="both"/>
              <w:rPr>
                <w:rFonts/>
                <w:color w:val="262626" w:themeColor="text1" w:themeTint="D9"/>
              </w:rPr>
            </w:pPr>
            <w:r>
              <w:t>RLH Properties dio a conocer los resultados financieros correspondientes al segundo trimestre de 2022, presentada según las Normas Internacionales de Información Financiera (IFRS por sus siglas en inglés) y expresadas en pesos mexicanos nominales.</w:t>
            </w:r>
          </w:p>
          <w:p>
            <w:pPr>
              <w:ind w:left="-284" w:right="-427"/>
              <w:jc w:val="both"/>
              <w:rPr>
                <w:rFonts/>
                <w:color w:val="262626" w:themeColor="text1" w:themeTint="D9"/>
              </w:rPr>
            </w:pPr>
            <w:r>
              <w:t>Borja Escalada, Director General de RLH Properties comentó que "el segundo trimestre de 2022 fue un excelente periodo pues además de tener resultados positivos en el desempeño en los activos hoteleros, hubo significativos logros en el negocio residencial. Se esperan ventas durante el segundo semestre del año con un incremento en el apetito en los productos residenciales que se atribuyen a los grandes beneficios que ofrece el modelo de administración de las propiedades a través de las marcas hoteleras más reconocidas a nivel mundial y el respaldo ejemplar de un desarrollador como RLH Properties.</w:t>
            </w:r>
          </w:p>
          <w:p>
            <w:pPr>
              <w:ind w:left="-284" w:right="-427"/>
              <w:jc w:val="both"/>
              <w:rPr>
                <w:rFonts/>
                <w:color w:val="262626" w:themeColor="text1" w:themeTint="D9"/>
              </w:rPr>
            </w:pPr>
            <w:r>
              <w:t>Según Realty World, el año pasado la comercialización de vivienda de lujo se incrementó un 48% contra el 2020. La recuperación del sector inmobiliario en general se encuentra en un panorama complejo ya que no todos los segmentos están repuntando al mismo ritmo. Las grandes ciudades, lugares de playa, zonas con mayor seguridad y oportunidades de crecimiento industrial tienen mayor potencial para la venta de vivienda de lujo.</w:t>
            </w:r>
          </w:p>
          <w:p>
            <w:pPr>
              <w:ind w:left="-284" w:right="-427"/>
              <w:jc w:val="both"/>
              <w:rPr>
                <w:rFonts/>
                <w:color w:val="262626" w:themeColor="text1" w:themeTint="D9"/>
              </w:rPr>
            </w:pPr>
            <w:r>
              <w:t>Cancún y la zona de Riviera Maya tienen mayor ocupación hotelera, lo cual favorece que las compañías sigan apostando por la región, como muestra concentró el 75% de los cuartos de hotel inaugurados durante los primeros cinco meses del año, con la apertura de nueve hoteles.</w:t>
            </w:r>
          </w:p>
          <w:p>
            <w:pPr>
              <w:ind w:left="-284" w:right="-427"/>
              <w:jc w:val="both"/>
              <w:rPr>
                <w:rFonts/>
                <w:color w:val="262626" w:themeColor="text1" w:themeTint="D9"/>
              </w:rPr>
            </w:pPr>
            <w:r>
              <w:t>"Los hoteles Banyan Tree Mayakoba y Rosewood Mayakoba en la Riviera Maya registraron los niveles de ocupación más altos de los activos de playa, 74% y 70% respectivamente, excediendo sus niveles de ocupación previos a la pandemia. Rosewood Mayakoba presentó el EBITDA más alto del portafolio superando en 51% el registrado en el mismo periodo en 2019; le sigue Banyan Tree Mayakoba con un EBITDA 39% superior a lo presupuestado para el periodo. En la Riviera Nayarit, el hotel One and Only Mandarina continúa con un excelente desempeño y comportándose, pese a su reciente apertura, como un hotel consolidado con una ocupación de 69% y el RevPar más alto de todo el portafolio durante el trimestre" expresó Escalada.</w:t>
            </w:r>
          </w:p>
          <w:p>
            <w:pPr>
              <w:ind w:left="-284" w:right="-427"/>
              <w:jc w:val="both"/>
              <w:rPr>
                <w:rFonts/>
                <w:color w:val="262626" w:themeColor="text1" w:themeTint="D9"/>
              </w:rPr>
            </w:pPr>
            <w:r>
              <w:t>En el segundo trimestre se suscitó un giro, ya que el hotel Four Seasons Ciudad de México mostró la ocupación promedio más alta del portafolio con 77%, muy cercano al nivel de ocupación para el mismo periodo previo a la pandemia. Destacando también su ocupación promedio de 85% en mayo, la más alta de todos los hoteles de la marca Four Seasons en el continente 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https://www.mexicopress.com.mx/rlh-properties-el-sector-inmobiliario-gran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Viaje Turismo Quintana Roo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