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20/12/2021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Rotoplas, historia de crecimiento sostenible, fluyendo para un futuro mejor en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Rotoplas anuncia sus compromisos en sustentabilidad alineados a la nueva estrategia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Rotoplas, empresa líder en América de productos y servicios de agua, anuncia sus compromisos en sustentabilidad alineados a la nueva estrategia de la compañía en esta materia, enfocada en la creación de valor en tres pilares: personas, planeta y beneficio económico.</w:t>
            </w:r>
          </w:p>
          <w:p>
            <w:pPr>
              <w:ind w:left="-284" w:right="-427"/>
              <w:jc w:val="both"/>
              <w:rPr>
                <w:rFonts/>
                <w:color w:val="262626" w:themeColor="text1" w:themeTint="D9"/>
              </w:rPr>
            </w:pPr>
            <w:r>
              <w:t>En el marco de la conferencia virtual dirigida a inversionistas “Agua Day 2021”, Rotoplas compartió la evolución del programa de transformación Flow y del plan de crecimiento sostenible 2020-2025.</w:t>
            </w:r>
          </w:p>
          <w:p>
            <w:pPr>
              <w:ind w:left="-284" w:right="-427"/>
              <w:jc w:val="both"/>
              <w:rPr>
                <w:rFonts/>
                <w:color w:val="262626" w:themeColor="text1" w:themeTint="D9"/>
              </w:rPr>
            </w:pPr>
            <w:r>
              <w:t>Durante la conferencia Matt Rogers, experto en sustentabilidad y socio retirado de McKinsey  and  Company, resaltó que la transición energética en la industria se está acelerando e incluyen diversos cambios en la adopción de procesos industriales que minimicen el impacto negativo en su entorno. Especialmente en materia de agua existe una mayor preocupación por el impacto climático y las repercusiones hacia la calidad de este líquido vital.</w:t>
            </w:r>
          </w:p>
          <w:p>
            <w:pPr>
              <w:ind w:left="-284" w:right="-427"/>
              <w:jc w:val="both"/>
              <w:rPr>
                <w:rFonts/>
                <w:color w:val="262626" w:themeColor="text1" w:themeTint="D9"/>
              </w:rPr>
            </w:pPr>
            <w:r>
              <w:t>Bajo esa perspectiva, Rotoplas representada por Carlos Rojas Aboumrad, CEO; Mario Romero CFO y José Luis Mantecón, vicepresidente de Sustentabilidad y Capital Humano, expusieron las metas en materia de sustentabilidad para 2025, en la que se incluye:</w:t>
            </w:r>
          </w:p>
          <w:p>
            <w:pPr>
              <w:ind w:left="-284" w:right="-427"/>
              <w:jc w:val="both"/>
              <w:rPr>
                <w:rFonts/>
                <w:color w:val="262626" w:themeColor="text1" w:themeTint="D9"/>
              </w:rPr>
            </w:pPr>
            <w:r>
              <w:t>Planeta:</w:t>
            </w:r>
          </w:p>
          <w:p>
            <w:pPr>
              <w:ind w:left="-284" w:right="-427"/>
              <w:jc w:val="both"/>
              <w:rPr>
                <w:rFonts/>
                <w:color w:val="262626" w:themeColor="text1" w:themeTint="D9"/>
              </w:rPr>
            </w:pPr>
            <w:r>
              <w:t>Ser una compañía carbono neutral para el año 2040</w:t>
            </w:r>
          </w:p>
          <w:p>
            <w:pPr>
              <w:ind w:left="-284" w:right="-427"/>
              <w:jc w:val="both"/>
              <w:rPr>
                <w:rFonts/>
                <w:color w:val="262626" w:themeColor="text1" w:themeTint="D9"/>
              </w:rPr>
            </w:pPr>
            <w:r>
              <w:t>Disminuir la intensidad de CO2 por tonelada de resina procesada de 0.51 a 0.41 (alcance 1 y alcance 2)</w:t>
            </w:r>
          </w:p>
          <w:p>
            <w:pPr>
              <w:ind w:left="-284" w:right="-427"/>
              <w:jc w:val="both"/>
              <w:rPr>
                <w:rFonts/>
                <w:color w:val="262626" w:themeColor="text1" w:themeTint="D9"/>
              </w:rPr>
            </w:pPr>
            <w:r>
              <w:t>Incrementar de 164 mil a 1,7 millones de metros cúbicos el agua purificada mediante soluciones Rotoplas (de forma acumulada)</w:t>
            </w:r>
          </w:p>
          <w:p>
            <w:pPr>
              <w:ind w:left="-284" w:right="-427"/>
              <w:jc w:val="both"/>
              <w:rPr>
                <w:rFonts/>
                <w:color w:val="262626" w:themeColor="text1" w:themeTint="D9"/>
              </w:rPr>
            </w:pPr>
            <w:r>
              <w:t>Beneficio económico (gobernanza):</w:t>
            </w:r>
          </w:p>
          <w:p>
            <w:pPr>
              <w:ind w:left="-284" w:right="-427"/>
              <w:jc w:val="both"/>
              <w:rPr>
                <w:rFonts/>
                <w:color w:val="262626" w:themeColor="text1" w:themeTint="D9"/>
              </w:rPr>
            </w:pPr>
            <w:r>
              <w:t>Evaluar al 100% a los proveedores directos con criterios ESG</w:t>
            </w:r>
          </w:p>
          <w:p>
            <w:pPr>
              <w:ind w:left="-284" w:right="-427"/>
              <w:jc w:val="both"/>
              <w:rPr>
                <w:rFonts/>
                <w:color w:val="262626" w:themeColor="text1" w:themeTint="D9"/>
              </w:rPr>
            </w:pPr>
            <w:r>
              <w:t>Alcanzar 80 puntos en satisfacción al cliente (NPS Score compuesto)</w:t>
            </w:r>
          </w:p>
          <w:p>
            <w:pPr>
              <w:ind w:left="-284" w:right="-427"/>
              <w:jc w:val="both"/>
              <w:rPr>
                <w:rFonts/>
                <w:color w:val="262626" w:themeColor="text1" w:themeTint="D9"/>
              </w:rPr>
            </w:pPr>
            <w:r>
              <w:t>Personas:</w:t>
            </w:r>
          </w:p>
          <w:p>
            <w:pPr>
              <w:ind w:left="-284" w:right="-427"/>
              <w:jc w:val="both"/>
              <w:rPr>
                <w:rFonts/>
                <w:color w:val="262626" w:themeColor="text1" w:themeTint="D9"/>
              </w:rPr>
            </w:pPr>
            <w:r>
              <w:t>Impactar a 1 millón de personas con acceso a agua y saneamiento</w:t>
            </w:r>
          </w:p>
          <w:p>
            <w:pPr>
              <w:ind w:left="-284" w:right="-427"/>
              <w:jc w:val="both"/>
              <w:rPr>
                <w:rFonts/>
                <w:color w:val="262626" w:themeColor="text1" w:themeTint="D9"/>
              </w:rPr>
            </w:pPr>
            <w:r>
              <w:t>Incrementar el porcentaje de mujeres en la plantilla laboral al 30%</w:t>
            </w:r>
          </w:p>
          <w:p>
            <w:pPr>
              <w:ind w:left="-284" w:right="-427"/>
              <w:jc w:val="both"/>
              <w:rPr>
                <w:rFonts/>
                <w:color w:val="262626" w:themeColor="text1" w:themeTint="D9"/>
              </w:rPr>
            </w:pPr>
            <w:r>
              <w:t>José Luis Mantecón comentó “estamos muy emocionados de este anuncio, sobre todo, porque es la primera vez que la empresa da a conocer este tipo de acciones que van de la mano con la evolución que ha tenido Rotoplas en los recientes años”.</w:t>
            </w:r>
          </w:p>
          <w:p>
            <w:pPr>
              <w:ind w:left="-284" w:right="-427"/>
              <w:jc w:val="both"/>
              <w:rPr>
                <w:rFonts/>
                <w:color w:val="262626" w:themeColor="text1" w:themeTint="D9"/>
              </w:rPr>
            </w:pPr>
            <w:r>
              <w:t>“Sí bien hemos dado pasos firmes con nuestra primera estrategia de sustentabilidad, era necesario comenzar a establecer metas particulares, que tuvieran un impacto que agrupara a las personas, al planeta y el beneficio económico, para continuar construyendo una empresa sostenible que nos permitirá seguir cumpliendo nuestra misión de llevar más y mejor agua”, declaró el directivo.</w:t>
            </w:r>
          </w:p>
          <w:p>
            <w:pPr>
              <w:ind w:left="-284" w:right="-427"/>
              <w:jc w:val="both"/>
              <w:rPr>
                <w:rFonts/>
                <w:color w:val="262626" w:themeColor="text1" w:themeTint="D9"/>
              </w:rPr>
            </w:pPr>
            <w:r>
              <w:t>Adicionalmente, la empresa informó que su perspectiva a futuro estará enfocada en la creación de valor en 360 grados, que incluye crecimiento sostenible, soluciones innovadoras y promoción del bienestar de las personas, impulsado por los lanzamientos de las soluciones que tienen para los siguientes años, la gran oportunidad de crecimiento en Estados Unidos con su oferta de servicios y sobre todo el paso hacia la digitalización del agua con aliados estratégicos.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Rotoplas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800 506 3000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https://www.mexicopress.com.mx/rotoplas-historia-de-crecimiento-sostenible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Ecología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