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el 28/11/2018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Se preveé un crecimiento del 27% de nuez pecanera al cierre del 2018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Las regiones productoras del norte del país reportan avance en la cosecha de nuez pecanera y se estima un crecimiento del 27% respecto al año pasado de acuerdo con cifras de SIAP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El Comité Mexicano del Sistema Producto Nuez, A.C. (COMENUEZ) www.comenuez.com dio a conocer que algunas regiones productoras de nuez han terminado de cosechar y que en otras zonas cada vez más huertas inician sus actividades de recolección, de acuerdo al Servicio de Información Agroalimentaria y Pesquera (SIAP) SAGARPA/COMENUEZ se prevé que la producción de este año alcance una cifra superior a las 141,700 mil toneladas de nuez pecanera un porcentaje por arriba del 27% comparado con el 2017.</w:t></w:r></w:p><w:p><w:pPr><w:ind w:left="-284" w:right="-427"/>	<w:jc w:val="both"/><w:rPr><w:rFonts/><w:color w:val="262626" w:themeColor="text1" w:themeTint="D9"/></w:rPr></w:pPr><w:r><w:t>Para la zona de producción de Chihuahua, específicamente en la zona de Jiménez y Camargo, el avance de la cosecha para nueces criollas lleva un 80% de avance, y 22% para nueces finas. La disminución gradual de alta humedad ambiental se registra en el clima de la zona con días templados y temperaturas muy frescas durante la noche. El follaje se observa en etapa final con pigmentación y defoliación generalizada por lo que el pronósticos de frío en pocos días se inducirá al reposo en los árboles para el inicio del período en la acumulación de frío.</w:t></w:r></w:p><w:p><w:pPr><w:ind w:left="-284" w:right="-427"/>	<w:jc w:val="both"/><w:rPr><w:rFonts/><w:color w:val="262626" w:themeColor="text1" w:themeTint="D9"/></w:rPr></w:pPr><w:r><w:t>El Delicias la cosecha el avance de la cosecha es del 65%, en Coahuila la mayoría de las huertas han terminado de cosechar, en la Comarca Lagunera el proceso de recolección sigue avanzando y se reporta como buena cosecha, buena calidad y poca humedad. En Durango las pizcas se han generalizado aunque sólo se lleva un 5% de recolección en las huertas. En Sonora prácticamente la cosecha ya terminó.</w:t></w:r></w:p><w:p><w:pPr><w:ind w:left="-284" w:right="-427"/>	<w:jc w:val="both"/><w:rPr><w:rFonts/><w:color w:val="262626" w:themeColor="text1" w:themeTint="D9"/></w:rPr></w:pPr><w:r><w:t>El nogal requiere de climas que tengan como mínimo óptimo 550 horas frío, se adapta tanto a suelos arenosos como arcillosos siempre y cuando tenga un buen drenaje; de igual forma, se adecua tanto a climas secos como húmedos y existen varias densidades de plantaciones que varían entre los 100 y 200 árboles por hectárea, ya que está establecida la plantación, hay que tener un manejo óptimo del riego, los nutrientes de la tierra, control de malezas, plagas y enfermedades, poda, etc.</w:t></w:r></w:p><w:p><w:pPr><w:ind w:left="-284" w:right="-427"/>	<w:jc w:val="both"/><w:rPr><w:rFonts/><w:color w:val="262626" w:themeColor="text1" w:themeTint="D9"/></w:rPr></w:pPr><w:r><w:t>México se ha posicionado a como el mejor lugar para adquirir nuez pecanera de calidad y es importante que el mundo lo sepa, los productores mexicanos son gente confiable y honesta capaz de cumplir con los más altos estándares de inocuidad que los mercados extranjeros actualmente demandan.</w:t></w:r></w:p><w:p><w:pPr><w:ind w:left="-284" w:right="-427"/>	<w:jc w:val="both"/><w:rPr><w:rFonts/><w:color w:val="262626" w:themeColor="text1" w:themeTint="D9"/></w:rPr></w:pPr><w:r><w:t>El principal objetivo de COMENUEZ es mantener y mejorar la rentabilidad de la cadena productiva de la nuez mexicana, la superficie plantada con nogales en el país va en aumento y se están haciendo los primeros pronósticos de producción en México que utilizan bases estadísticas sólidas e incluye a las principales zonas productoras del país.</w:t></w:r></w:p><w:p><w:pPr><w:ind w:left="-284" w:right="-427"/>	<w:jc w:val="both"/><w:rPr><w:rFonts/><w:color w:val="262626" w:themeColor="text1" w:themeTint="D9"/></w:rPr></w:pPr><w:r><w:t>El Comité Mexicano del Sistema Producto Nuez, A.C., constituído el 15 de abril de 2008 es la figura jurídica con la que se representa al Sistema Producto Nuez, nace a partir de la Ley de Desarrollo Rural Sustentable en su artículo 150, donde se indica que se debe formar un Comité Sistema Producto por cada producto básico y estratégico. Tiene como función organizar a los agentes y eslabones de la cadena productiva nogal/nuez en los estados de Chihuahua, Sonora, Coahuila, Nuevo León, Durango y la Región de la Comarca Lagunera, con el objeto de establecer entre sus agremiados, relaciones de negocios productivos buscando el beneficio de todos y cada uno de los eslabones participantes.</w:t></w:r></w:p><w:p><w:pPr><w:ind w:left="-284" w:right="-427"/>	<w:jc w:val="both"/><w:rPr><w:rFonts/><w:color w:val="262626" w:themeColor="text1" w:themeTint="D9"/></w:rPr></w:pPr><w:r><w:t>Recursos adicionalesFacebook: https://www.facebook.com/vaconnuez/Twitter: https://twitter.com/vaconnuezWebsite: http://www.comenuez.com/Instagram: https://www.instagram.com/nuez_pecanera_mexicana/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de Relaciones Públicas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+ 52 55 5615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https://www.mexicopress.com.mx/se-prevee-un-crecimiento-del-27-de-nuez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Nutrición Gastronomía Industria Alimentaria Consumo Chihuahua Coahuila de Zaragoza Ciudad de México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