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Seedtag avanza hacia la neutralidad de carbono comprometida con una industria publicitaria más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Seedtag presenta una estrategia climática en 5 fases para reducir y compensar sus emisiones, ayudar a sus socios a alcanzar sus objetivos de sostenibilidad y contribuir en la transición del sector hacia una economía baja en carbono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Seedtag, empresa global líder en Publicidad Contextual, celebra el Día de la Tierra anunciando un plan de acción climática como parte de su estrategia Ambiental, Social y de Gobernanza (ASG). La empresa ha revisado todas sus actividades para evaluar, reducir y contrarrestar su huella de carbono. Además, Seedtag se ha fijado el propósito de alcanzar cero emisiones netas de carbono (Net Zero) para la compañía y sus partners en toda la cadena de valor de la Publicidad Contextual antes de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valoración de Seedtag no sólo abordó cuestiones medioambientales, sino también su impacto en la sociedad y la gobernanza.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 esto, Seedtag ya está ejecutando el siguiente plan de acción de 5 fases: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Seedtag ha evaluado sus formatos publicitarios para asegurarse de que se siguen cumpliendo los KPIs, pero utilizando los formatos y plazos de entrega que menos carbono emitan, así como trabajando junto a socios como Impact+ y Scope3. La empresa también ha llevado a cabo un análisis de las solicitudes repetidas o redundantes de DSPs y SSPs en Seedtag Exchange.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reducir las emisiones de energía de Scope 2, Seedtag mejorará la eficiencia energética en sus oficinas a nivel mundial, al mismo tiempo que apostará por fuentes de energía renovables y sin emisiones de carbono, siempre que estén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reducir las emisiones de la nube de Scope 3, Seedtag está trabajando directamente con su proveedor Google Cloud para optimizar sus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reducir las emisiones de los viajes de negocios de Scope 3, Seedtag está promoviendo el uso de trenes entre sus oficinas de la UE y sustituyendo el uso de taxis por vehículos eléctricos o transporte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Ppara compensar las emisiones residuales y mantener la neutralidad de carbono, Seedtag apoya proyectos de créditos de carbono que utilizan tecnologías innovadoras y soluciones basadas en la naturaleza para evitar y eliminar emisiones.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estrategia ASG y el plan de descarbonización de Seedtag son solo un anticipo de sus planes de crecimiento sostenible de cara a los próximos años. La empresa se compromete así a crear un negocio más sostenible y responsable y, por tanto, mantiene como prioritarios sus esfuerzos por reducir su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 Nieto, co-CEO de Seedtag, afirma: "Nuestros esfuerzos para reducir y compensar nuestras emisiones de CO2 reflejan el compromiso que tenemos con la sostenibilidad y apoyan a nuestros clientes y partners en su camino hacia la sostenibilidad. Nuestra nueva estrategia ASG se centra en apoyar un futuro basado en la privacidad, promover un ecosistema más inclusivo y diverso y establecer relaciones de confianza con nuestros stakeholders. Estamos ilusionados con el futuro y con el papel que podemos desempeñar en el fomento de la sostenibilidad en el sector de la publicidad digital."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5528661669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https://www.mexicopress.com.mx/seedtag-avanza-hacia-la-neutralidad-de-carbono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Marketing Ciudad de México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