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de confianza digital que permiten dar valor probatorio a los documentos privados ante el SAT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CertiMatch presenta sus servicios de confianza digital para garantizar la fecha cierta de los documentos privados ante el SAT: Constancias de conservación y sellos digitales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Mediante soluciones de confianza digital las empresas pueden demostrar ante el SAT, la autenticidad y veracidad de los documentos que soportan sus operaciones y que estos han permanecido inalterados; así mismo, acreditar la fecha en la que efectivamente fueron suscritos.</w:t>
            </w:r>
          </w:p>
          <w:p>
            <w:pPr>
              <w:ind w:left="-284" w:right="-427"/>
              <w:jc w:val="both"/>
              <w:rPr>
                <w:rFonts/>
                <w:color w:val="262626" w:themeColor="text1" w:themeTint="D9"/>
              </w:rPr>
            </w:pPr>
            <w:r>
              <w:t>Con soluciones de confianza digital las empresas podrán responder de manera oportuna tanto en tiempo como en forma ante una solicitud de aclaración o auditoría del SAT.</w:t>
            </w:r>
          </w:p>
          <w:p>
            <w:pPr>
              <w:ind w:left="-284" w:right="-427"/>
              <w:jc w:val="both"/>
              <w:rPr>
                <w:rFonts/>
                <w:color w:val="262626" w:themeColor="text1" w:themeTint="D9"/>
              </w:rPr>
            </w:pPr>
            <w:r>
              <w:t>Acreditación de la fecha ciertaLa Suprema Corte de Justicia de la Nación (SCJN) estableció en el año 2019 la obligatoriedad de demostrar la fecha cierta de documentos privados presentados ante la autoridad tributaria como consecuencia del ejercicio de sus facultades de comprobación.</w:t>
            </w:r>
          </w:p>
          <w:p>
            <w:pPr>
              <w:ind w:left="-284" w:right="-427"/>
              <w:jc w:val="both"/>
              <w:rPr>
                <w:rFonts/>
                <w:color w:val="262626" w:themeColor="text1" w:themeTint="D9"/>
              </w:rPr>
            </w:pPr>
            <w:r>
              <w:t>La finalidad de dicho decreto es evitar cualquier tipo de fraude que pueda efectuarse por la manipulación en las fechas en las que se suscribe una transacción o documento.</w:t>
            </w:r>
          </w:p>
          <w:p>
            <w:pPr>
              <w:ind w:left="-284" w:right="-427"/>
              <w:jc w:val="both"/>
              <w:rPr>
                <w:rFonts/>
                <w:color w:val="262626" w:themeColor="text1" w:themeTint="D9"/>
              </w:rPr>
            </w:pPr>
            <w:r>
              <w:t>En consecuencia, los contribuyentes están en la obligación a demostrar cuando el SAT lo requiera la fecha en la que efectivamente se suscriben distintos documentos, tales como: los contratos de prestación de servicios, cartas poder, constancias de trabajo, entre otros.</w:t>
            </w:r>
          </w:p>
          <w:p>
            <w:pPr>
              <w:ind w:left="-284" w:right="-427"/>
              <w:jc w:val="both"/>
              <w:rPr>
                <w:rFonts/>
                <w:color w:val="262626" w:themeColor="text1" w:themeTint="D9"/>
              </w:rPr>
            </w:pPr>
            <w:r>
              <w:t>Según dicho decreto, existen tres supuestos que permiten cumplir con el requisito de fecha cierta: cuando se inscribe en el Registro Público de la Propiedad, tras la muerte de algún firmante, o al ser presentados ante un fedatario público.</w:t>
            </w:r>
          </w:p>
          <w:p>
            <w:pPr>
              <w:ind w:left="-284" w:right="-427"/>
              <w:jc w:val="both"/>
              <w:rPr>
                <w:rFonts/>
                <w:color w:val="262626" w:themeColor="text1" w:themeTint="D9"/>
              </w:rPr>
            </w:pPr>
            <w:r>
              <w:t>Las herramientas de confianza digital se presentan como una magnífica opción para las empresas medianas y grandes, a fin de cumplir con las formalidades requeridas por el SAT.</w:t>
            </w:r>
          </w:p>
          <w:p>
            <w:pPr>
              <w:ind w:left="-284" w:right="-427"/>
              <w:jc w:val="both"/>
              <w:rPr>
                <w:rFonts/>
                <w:color w:val="262626" w:themeColor="text1" w:themeTint="D9"/>
              </w:rPr>
            </w:pPr>
            <w:r>
              <w:t>Se trata de soluciones de confianza digital útiles en los casos en que sea necesario suscribir de forma recurrente diferentes contratos, otorgarle a cada documento valor probatorio ante el Servicio de Administración Tributaria (SAT) sin incurrir en los gastos que implicaría hacerlo frente a un notario.</w:t>
            </w:r>
          </w:p>
          <w:p>
            <w:pPr>
              <w:ind w:left="-284" w:right="-427"/>
              <w:jc w:val="both"/>
              <w:rPr>
                <w:rFonts/>
                <w:color w:val="262626" w:themeColor="text1" w:themeTint="D9"/>
              </w:rPr>
            </w:pPr>
            <w:r>
              <w:t>Constancias de Conservación y Sellos Digitales de tiempoUna de las alternativas que se ha presentado para poder garantizar la validez de la fecha de los documentos ante el SAT, es por medio de las firmas electrónicas o “e.firma”. Al establecer una firma electrónica, un sello de tiempo o una constancia de conservación, la fecha y el contenido del documento es inmodificable.</w:t>
            </w:r>
          </w:p>
          <w:p>
            <w:pPr>
              <w:ind w:left="-284" w:right="-427"/>
              <w:jc w:val="both"/>
              <w:rPr>
                <w:rFonts/>
                <w:color w:val="262626" w:themeColor="text1" w:themeTint="D9"/>
              </w:rPr>
            </w:pPr>
            <w:r>
              <w:t>Actualmente en México, la regulación sobre las firmas electrónicas se encuentra en el Código de Comercio. Dicho código aclara que, para que la firma electrónica tenga validez, ésta debe contar con los sellos de tiempo o sellos digitales de tiempo.</w:t>
            </w:r>
          </w:p>
          <w:p>
            <w:pPr>
              <w:ind w:left="-284" w:right="-427"/>
              <w:jc w:val="both"/>
              <w:rPr>
                <w:rFonts/>
                <w:color w:val="262626" w:themeColor="text1" w:themeTint="D9"/>
              </w:rPr>
            </w:pPr>
            <w:r>
              <w:t>Los sellos de tiempo no son más que firmas digitales infalsificables por las que se puede dar constancia de la veracidad de los datos del contrato. Particularmente, de la fecha en la que fue firmado.</w:t>
            </w:r>
          </w:p>
          <w:p>
            <w:pPr>
              <w:ind w:left="-284" w:right="-427"/>
              <w:jc w:val="both"/>
              <w:rPr>
                <w:rFonts/>
                <w:color w:val="262626" w:themeColor="text1" w:themeTint="D9"/>
              </w:rPr>
            </w:pPr>
            <w:r>
              <w:t>De este modo, este tipo de herramientas se ha convertido en la posible solución a la simulación de operaciones fiscales. Estas herramientas son reconocidas por las autoridades y les atribuyen valor probatorio a los documentos que se emiten con la utilización de esta tecnología.</w:t>
            </w:r>
          </w:p>
          <w:p>
            <w:pPr>
              <w:ind w:left="-284" w:right="-427"/>
              <w:jc w:val="both"/>
              <w:rPr>
                <w:rFonts/>
                <w:color w:val="262626" w:themeColor="text1" w:themeTint="D9"/>
              </w:rPr>
            </w:pPr>
            <w:r>
              <w:t>CertiMatch ofrece a las empresas el servicio de emisión de sellos digitales de tiempo, o también conocido como “Time Stamping”, para documentos y transacciones digitales así como las emisión de Constancias de Conservación de datos. Estos sellos dan certeza de una determinada fecha y hora. Con estas herramientas cualquier empresa puede asegurarse de tener documentos con fecha cierta y valor probatorio ante el SAT.</w:t>
            </w:r>
          </w:p>
          <w:p>
            <w:pPr>
              <w:ind w:left="-284" w:right="-427"/>
              <w:jc w:val="both"/>
              <w:rPr>
                <w:rFonts/>
                <w:color w:val="262626" w:themeColor="text1" w:themeTint="D9"/>
              </w:rPr>
            </w:pPr>
            <w:r>
              <w:t>CertiMatch Confianza DigitalCertiMatch, empresa de servicios de Confianza Digital, expertos en la certificación y transformación de documentos físicos a digitales con validez jurídica. Garantiza la certeza en la fidelidad de las versiones digitales, cumpliendo con las NOM151 para aplicar las mejores prácticas en materia de digitalización certificada y gestión documental. Ofrece las mejores soluciones y herramientas de Confianza Digital.</w:t>
            </w:r>
          </w:p>
          <w:p>
            <w:pPr>
              <w:ind w:left="-284" w:right="-427"/>
              <w:jc w:val="both"/>
              <w:rPr>
                <w:rFonts/>
                <w:color w:val="262626" w:themeColor="text1" w:themeTint="D9"/>
              </w:rPr>
            </w:pPr>
            <w:r>
              <w:t>Están ubicados en Indiana 260 Int. 503, Col. Ciudad de los Deportes, Benito Juárez 03710, Ciudad de México. Podrás conseguir todos sus datos de contacto en su página web. https://certimatch.com.mx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V.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6284-8363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https://www.mexicopress.com.mx/servicios-de-confianza-digital-que-permiten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