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Sistemas de transporte y oferta de vivienda en renta en la Ciudad de México: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Ciudad de México, el transporte público es esencial para la vida cotidiana. Según el INEGI, de los 17,303,524 viajes semanales, el 49.8% se realiza en transporte público, superando el 23.4% en vehículos privados. Además, el 26% se hace a pie, 1.4% en bicicleta y 0.1% en otros medios. La disponibilidad de transporte influye en la elección de residencia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de datos del gobierno de la Ciudad de México proporciona información detallada sobre la cobertura de transporte a nivel manzana, recopilada por el Instituto de Planeación Democrática y Prospectiva. Se evaluaron 10 sistemas, como Metro, Suburbano, Metrobús, etc, asignando un código numérico para indicar la presencia de cada sistema. Con una suma máxima de 6, solo el 11% de las manzanas tienen esta cobertura máxima. Se emplearon datos por código postal y se calculó un promedio simple de la calificación de las manzanas, dividido en tres rangos. Las colonias con mayor cobertura se encuentran en el centro, mientras que las cercanas a la periferia, especialmente hacia el sur, tienden a tener coberturas más bajas.</w:t>
            </w:r>
          </w:p>
          <w:p>
            <w:pPr>
              <w:ind w:left="-284" w:right="-427"/>
              <w:jc w:val="both"/>
              <w:rPr>
                <w:rFonts/>
                <w:color w:val="262626" w:themeColor="text1" w:themeTint="D9"/>
              </w:rPr>
            </w:pPr>
            <w:r>
              <w:t>En la Ciudad de México, la oferta de vivienda en renta se encuentra en constante difusión en diversos medios, especialmente en portales inmobiliarios especializados. Tasvalúo ha desarrollado herramientas para monitorear estos sitios y comprender mejor el mercado. En septiembre, se identificaron hasta 569 inmuebles en un solo código postal, principalmente en colonias del poniente. Desde Cuauhtémoc y Benito Juárez hacia el sur, y desde Polanco hasta Santa Fe hacia el poniente, estas áreas concentran una notable oferta de inmuebles en renta, lo que refleja una alta actividad en el mercado inmobiliario de la zona.</w:t>
            </w:r>
          </w:p>
          <w:p>
            <w:pPr>
              <w:ind w:left="-284" w:right="-427"/>
              <w:jc w:val="both"/>
              <w:rPr>
                <w:rFonts/>
                <w:color w:val="262626" w:themeColor="text1" w:themeTint="D9"/>
              </w:rPr>
            </w:pPr>
            <w:r>
              <w:t>Las colonias que destacan por su alta oferta de inmuebles en renta y una amplia cobertura de transporte público son: Anahuac Mariano Escobedo, Centro, Del Valle, Del Valle Centro, Del Valle Sur, Guadalupe Inn, Hipódromo, Lomas de Chapultepec, Los Alpes, Narvarte Poniente, Piedad Narvarte, Portales Sur, Primera Sección del Bosque de Chapultepec, San Ángel, Santa Cruz Atoyac, Tabacalera y Verónica Anzures. Por otro lado, las colonias con alta oferta de vivienda en renta y cobertura media de transporte incluyen: Belén de Las Flores Sección Relleno, Bellavista, Bosques de Las Lomas, Cuajimalpa, Del Bosque, Francisco I. Madero, La Candelaria, La Manzanita, La Puntada, Lomas de Chapultepec, Lomas de Virreyes, Lomas de Vista Hermosa, Los Alpes, Militar 1K Lomas de Sotelo, Piedad Narvarte, Progreso Tizapán, RES Parque Santa Fe, San Ángel, Unidad Habitacional Loma Hermosa, Unidad Habitacional Lomas de Sotelo, Verónica Anzures y Zedec Santa Fe.</w:t>
            </w:r>
          </w:p>
          <w:p>
            <w:pPr>
              <w:ind w:left="-284" w:right="-427"/>
              <w:jc w:val="both"/>
              <w:rPr>
                <w:rFonts/>
                <w:color w:val="262626" w:themeColor="text1" w:themeTint="D9"/>
              </w:rPr>
            </w:pPr>
            <w:r>
              <w:t>En la tipificación que incluye la oferta media de vivienda en renta y una alta cobertura de transporte, se encuentran colonias como 8 de Agosto, Álamos, Anahuac Mariano Escobedo, Argentina Antigua, Atenor Salas, Campestre, Campestre Churubusco, Carola, Centro, Clavería, Condesa, Cove, Cuauhtémoc, Del Valle Centro, Del Valle Sur, Educación, El Recreo, Gabriel Ramos Millán Sección Bramadero, Insurgentes San Borja, La Concepción, Los Alpes, Morelos, Narvarte Oriente, Nonoalco, Parque San Andrés, Peralvillo, Piedad Narvarte, Portales Sur, Progresista, San Álvaro, San Lorenzo Tlaltenango, San Pedro de los Pinos, Santa María Malinalco, Santa María Nonoalco, Tabacalera, Tepeyac Insurgentes y Tránsito.</w:t>
            </w:r>
          </w:p>
          <w:p>
            <w:pPr>
              <w:ind w:left="-284" w:right="-427"/>
              <w:jc w:val="both"/>
              <w:rPr>
                <w:rFonts/>
                <w:color w:val="262626" w:themeColor="text1" w:themeTint="D9"/>
              </w:rPr>
            </w:pPr>
            <w:r>
              <w:t>Aunque algunas colonias se repiten en distintas tipificaciones debido a la diversidad de polígonos, se evidencia una relación entre alta cobertura de transporte y amplia oferta de viviendas en renta, especialmente en el centro y el poniente de la ciudad, donde se concentra la actividad comercial y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https://www.mexicopress.com.mx/sistemas-de-transporte-y-oferta-de-vivienda-en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Finanzas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