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gana primer lugar en Innovación en los EQUAA Awards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premios reconocen a nivel internacional a las instituciones educativas que implementan iniciativas innovadoras. Importancia de utilizar principios y técnicas propias del diseño para informar y enriquecer el proceso educativo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Tecmilenio obtuvo el primer lugar en la categoría de Innovación en los EQUAA Awards 2024 con el Proyecto: Design Driven Education de la Vicerrectoría de Innovación, Internacionalización y Alianzas Estratégicas.</w:t>
            </w:r>
          </w:p>
          <w:p>
            <w:pPr>
              <w:ind w:left="-284" w:right="-427"/>
              <w:jc w:val="both"/>
              <w:rPr>
                <w:rFonts/>
                <w:color w:val="262626" w:themeColor="text1" w:themeTint="D9"/>
              </w:rPr>
            </w:pPr>
            <w:r>
              <w:t>La premiación se dio en el marco del X Foro Internacional de Acreditación EQUAA (Education Quality Accreditation Agency) 2024: "Tecnología y acreditación en la Educación Superior"; celebrado el pasado 27, 28 y 29 de junio en Santa Marta, Colombia​.</w:t>
            </w:r>
          </w:p>
          <w:p>
            <w:pPr>
              <w:ind w:left="-284" w:right="-427"/>
              <w:jc w:val="both"/>
              <w:rPr>
                <w:rFonts/>
                <w:color w:val="262626" w:themeColor="text1" w:themeTint="D9"/>
              </w:rPr>
            </w:pPr>
            <w:r>
              <w:t>"Es un orgullo para Tecmilenio recibir este primer lugar en la categoría de Innovación en los EQUAA Awards 2024, se trata de un reconocimiento a todo el trabajo realizado, y por supuesto un gran incentivo para continuar innovando en beneficio de la educación para todas y todos los aprendedores. La innovación educativa está en el ADN de Tecmilenio, a la par de su estrategia de negocio y pedagogía disruptiva", resaltó Marco Lampugnani, Director de Diseño de Tecmilenio, y líder de proyecto de Design Driven Education. </w:t>
            </w:r>
          </w:p>
          <w:p>
            <w:pPr>
              <w:ind w:left="-284" w:right="-427"/>
              <w:jc w:val="both"/>
              <w:rPr>
                <w:rFonts/>
                <w:color w:val="262626" w:themeColor="text1" w:themeTint="D9"/>
              </w:rPr>
            </w:pPr>
            <w:r>
              <w:t>Desde 2021, Tecmilenio ha creado el Laboratorio de Innovación, cuyo foco es acelerar el cumplimiento de los objetivos estratégicos de la organización. El laboratorio es un importante diferenciador, ya que hay pocos casos análogos en instituciones de educación superior a nivel global, otra muestra del compromiso de Tecmilenio con el éxito de sus aprendedores.</w:t>
            </w:r>
          </w:p>
          <w:p>
            <w:pPr>
              <w:ind w:left="-284" w:right="-427"/>
              <w:jc w:val="both"/>
              <w:rPr>
                <w:rFonts/>
                <w:color w:val="262626" w:themeColor="text1" w:themeTint="D9"/>
              </w:rPr>
            </w:pPr>
            <w:r>
              <w:t>Premios EQUAA Awards Son organizados por la asociación de académicos que lleva el mismo nombre, en colaboración con instituciones, empresas, redes y otras asociaciones internacionales relacionadas con la educación superior en Latinoamérica.</w:t>
            </w:r>
          </w:p>
          <w:p>
            <w:pPr>
              <w:ind w:left="-284" w:right="-427"/>
              <w:jc w:val="both"/>
              <w:rPr>
                <w:rFonts/>
                <w:color w:val="262626" w:themeColor="text1" w:themeTint="D9"/>
              </w:rPr>
            </w:pPr>
            <w:r>
              <w:t>Su propósito es destacar y reconocer a nivel internacional a las instituciones educativas que han o están implementando iniciativas innovadoras y de internacionalización, como parte de su trabajo colaborativo entre sus docentes, directivos, coordinadores y/o estudiantes.​</w:t>
            </w:r>
          </w:p>
          <w:p>
            <w:pPr>
              <w:ind w:left="-284" w:right="-427"/>
              <w:jc w:val="both"/>
              <w:rPr>
                <w:rFonts/>
                <w:color w:val="262626" w:themeColor="text1" w:themeTint="D9"/>
              </w:rPr>
            </w:pPr>
            <w:r>
              <w:t>Cabe destacar que en la categoría de Innovación solo participan proyectos disruptivos que hayan sido o sean aplicados por la institución en cualquiera de sus áreas académicas. Además, dicha categoría integra metodologías y enfoques innovadores de diseño en la educación para mejorar la experiencia de aprendizaje de los estudiantes. El término "Design Driven" empleado en el proyecto ganador, se refiere a utilizar principios y técnicas propias del diseño para informar y enriquecer el proceso educativo.​</w:t>
            </w:r>
          </w:p>
          <w:p>
            <w:pPr>
              <w:ind w:left="-284" w:right="-427"/>
              <w:jc w:val="both"/>
              <w:rPr>
                <w:rFonts/>
                <w:color w:val="262626" w:themeColor="text1" w:themeTint="D9"/>
              </w:rPr>
            </w:pPr>
            <w:r>
              <w:t>Algunos aspectos clave de este proyecto incluye:​</w:t>
            </w:r>
          </w:p>
          <w:p>
            <w:pPr>
              <w:ind w:left="-284" w:right="-427"/>
              <w:jc w:val="both"/>
              <w:rPr>
                <w:rFonts/>
                <w:color w:val="262626" w:themeColor="text1" w:themeTint="D9"/>
              </w:rPr>
            </w:pPr>
            <w:r>
              <w:t>Enfoque centrado en el estudiante: Técnicas de diseño centradas en el usuario para comprender mejor las necesidades, preferencias y habilidades de los estudiantes, adaptando así los métodos de enseñanza y los recursos educativos.​</w:t>
            </w:r>
          </w:p>
          <w:p>
            <w:pPr>
              <w:ind w:left="-284" w:right="-427"/>
              <w:jc w:val="both"/>
              <w:rPr>
                <w:rFonts/>
                <w:color w:val="262626" w:themeColor="text1" w:themeTint="D9"/>
              </w:rPr>
            </w:pPr>
            <w:r>
              <w:t>Innovación educativa: Prácticas innovadoras basadas en el diseño para crear ambientes de aprendizaje más dinámicos, interactivos y efectivos.​</w:t>
            </w:r>
          </w:p>
          <w:p>
            <w:pPr>
              <w:ind w:left="-284" w:right="-427"/>
              <w:jc w:val="both"/>
              <w:rPr>
                <w:rFonts/>
                <w:color w:val="262626" w:themeColor="text1" w:themeTint="D9"/>
              </w:rPr>
            </w:pPr>
            <w:r>
              <w:t>Colaboración multidisciplinaria: Integración de diferentes disciplinas y perspectivas (como diseño, tecnología, psicología educativa, entre otras) para desarrollar programas y materiales educativos más completos y efectivos.​</w:t>
            </w:r>
          </w:p>
          <w:p>
            <w:pPr>
              <w:ind w:left="-284" w:right="-427"/>
              <w:jc w:val="both"/>
              <w:rPr>
                <w:rFonts/>
                <w:color w:val="262626" w:themeColor="text1" w:themeTint="D9"/>
              </w:rPr>
            </w:pPr>
            <w:r>
              <w:t>Uso de tecnología: Incorporación de herramientas y plataformas tecnológicas que faciliten la personalización del aprendizaje y la evaluación continua del progreso estudiantil.​</w:t>
            </w:r>
          </w:p>
          <w:p>
            <w:pPr>
              <w:ind w:left="-284" w:right="-427"/>
              <w:jc w:val="both"/>
              <w:rPr>
                <w:rFonts/>
                <w:color w:val="262626" w:themeColor="text1" w:themeTint="D9"/>
              </w:rPr>
            </w:pPr>
            <w:r>
              <w:t>EQUAA es una acreditadora internacional en educación, enfocada en el área de Negocios con un interés particular en Latinoamérica, la cual organiza estos premios y en donde participan alrededor de 70 instituciones educativas.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Rubio</w:t>
      </w:r>
    </w:p>
    <w:p w:rsidR="00C31F72" w:rsidRDefault="00C31F72" w:rsidP="00AB63FE">
      <w:pPr>
        <w:pStyle w:val="Sinespaciado"/>
        <w:spacing w:line="276" w:lineRule="auto"/>
        <w:ind w:left="-284"/>
        <w:rPr>
          <w:rFonts w:ascii="Arial" w:hAnsi="Arial" w:cs="Arial"/>
        </w:rPr>
      </w:pPr>
      <w:r>
        <w:rPr>
          <w:rFonts w:ascii="Arial" w:hAnsi="Arial" w:cs="Arial"/>
        </w:rPr>
        <w:t>Relaciones Públicas en Tecmilenio</w:t>
      </w:r>
    </w:p>
    <w:p w:rsidR="00AB63FE" w:rsidRDefault="00C31F72" w:rsidP="00AB63FE">
      <w:pPr>
        <w:pStyle w:val="Sinespaciado"/>
        <w:spacing w:line="276" w:lineRule="auto"/>
        <w:ind w:left="-284"/>
        <w:rPr>
          <w:rFonts w:ascii="Arial" w:hAnsi="Arial" w:cs="Arial"/>
        </w:rPr>
      </w:pPr>
      <w:r>
        <w:rPr>
          <w:rFonts w:ascii="Arial" w:hAnsi="Arial" w:cs="Arial"/>
        </w:rPr>
        <w:t>8117477459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https://www.mexicopress.com.mx/tecmilenio-gana-primer-lugar-en-innovacion-en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Educación Eventos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