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financieras para el 2024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2024 llegó, el mundo financiero continúa experimentando cambios significativos impulsados por la tecnología, la globalización y los cambios que va mostrando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De la Paz, Costemalle DFK son conscientes de esto, por eso cuentan con un plan de acompañamiento, además de una auditoria constante a los procesos, procedimientos financieros y administrativos en cada operación con sus clientes, alineándolos a los cambios establecidos por la ley por medio de las reformas y tendencias que van presentándose.</w:t>
            </w:r>
          </w:p>
          <w:p>
            <w:pPr>
              <w:ind w:left="-284" w:right="-427"/>
              <w:jc w:val="both"/>
              <w:rPr>
                <w:rFonts/>
                <w:color w:val="262626" w:themeColor="text1" w:themeTint="D9"/>
              </w:rPr>
            </w:pPr>
            <w:r>
              <w:t>En el mundo de las finanzas nada está dicho, pero si puede trabajar en un análisis de comportamiento y preparar diferentes planes de acción para las empresas, hay tendencias que se pueden definir con base en comportamientos previos, los especialistas en De la Paz Costemalle DFK, comparten las cinco tendencias financieras clave que probablemente darán forma al paisaje financiero para el 2024.</w:t>
            </w:r>
          </w:p>
          <w:p>
            <w:pPr>
              <w:ind w:left="-284" w:right="-427"/>
              <w:jc w:val="both"/>
              <w:rPr>
                <w:rFonts/>
                <w:color w:val="262626" w:themeColor="text1" w:themeTint="D9"/>
              </w:rPr>
            </w:pPr>
            <w:r>
              <w:t>Digitalización y monedas digitales de bancos centrales (CBDCs): La digitalización ha sido una fuerza impulsora en el mundo financiero, y en el 2024, se espera que esta tendencia se intensifique aún más. Los bancos centrales de diversos países están explorando activamente la emisión de monedas digitales. Estas criptomonedas respaldadas por el gobierno podrían ofrecer eficiencias en las transacciones, mayor seguridad e inclusión financiera.</w:t>
            </w:r>
          </w:p>
          <w:p>
            <w:pPr>
              <w:ind w:left="-284" w:right="-427"/>
              <w:jc w:val="both"/>
              <w:rPr>
                <w:rFonts/>
                <w:color w:val="262626" w:themeColor="text1" w:themeTint="D9"/>
              </w:rPr>
            </w:pPr>
            <w:r>
              <w:t>Sin embargo, también plantean desafíos regulatorios y cuestiones relacionadas con la privacidad que deben abordarse cuidadosamente. Además, los gobiernos deberán plantear un modelo para brindar seguridad financiera y de inversión en este modelo. Asegura Teresa Cruz, contadora.</w:t>
            </w:r>
          </w:p>
          <w:p>
            <w:pPr>
              <w:ind w:left="-284" w:right="-427"/>
              <w:jc w:val="both"/>
              <w:rPr>
                <w:rFonts/>
                <w:color w:val="262626" w:themeColor="text1" w:themeTint="D9"/>
              </w:rPr>
            </w:pPr>
            <w:r>
              <w:t>Finanzas descentralizadas (DeFi): Han ganado impulso en los últimos años, y en el 2024 se espera que continúen expandiéndose. Plataformas DeFi, basadas en tecnología blockchain, ofrecen servicios financieros sin intermediarios tradicionales. Estos incluyen préstamos, intercambios descentralizados, y servicios de staking.</w:t>
            </w:r>
          </w:p>
          <w:p>
            <w:pPr>
              <w:ind w:left="-284" w:right="-427"/>
              <w:jc w:val="both"/>
              <w:rPr>
                <w:rFonts/>
                <w:color w:val="262626" w:themeColor="text1" w:themeTint="D9"/>
              </w:rPr>
            </w:pPr>
            <w:r>
              <w:t>La creciente popularidad de DeFi destaca la demanda de servicios financieros más accesibles, transparentes y eficientes.</w:t>
            </w:r>
          </w:p>
          <w:p>
            <w:pPr>
              <w:ind w:left="-284" w:right="-427"/>
              <w:jc w:val="both"/>
              <w:rPr>
                <w:rFonts/>
                <w:color w:val="262626" w:themeColor="text1" w:themeTint="D9"/>
              </w:rPr>
            </w:pPr>
            <w:r>
              <w:t>Inteligencia artificial y finanzas: En el ámbito financiero, la Inteligencia Artificial (AI) sigue siendo una tendencia clave en el 2024. Las instituciones financieras están utilizando la IA para la toma de decisiones, la gestión de riesgos, la detección de fraudes y la personalización de servicios.</w:t>
            </w:r>
          </w:p>
          <w:p>
            <w:pPr>
              <w:ind w:left="-284" w:right="-427"/>
              <w:jc w:val="both"/>
              <w:rPr>
                <w:rFonts/>
                <w:color w:val="262626" w:themeColor="text1" w:themeTint="D9"/>
              </w:rPr>
            </w:pPr>
            <w:r>
              <w:t>Los algoritmos de aprendizaje automático analizan grandes conjuntos de datos en tiempo real, brindando una ventaja competitiva a aquellos que adoptan tecnologías de vanguardia. Aquí el reto se vuelve más ambicioso, ya que, todos los especialistas se encuentran en una transformación y adaptación, en la cual se debe contemplar esta herramienta para mejorar procesos.</w:t>
            </w:r>
          </w:p>
          <w:p>
            <w:pPr>
              <w:ind w:left="-284" w:right="-427"/>
              <w:jc w:val="both"/>
              <w:rPr>
                <w:rFonts/>
                <w:color w:val="262626" w:themeColor="text1" w:themeTint="D9"/>
              </w:rPr>
            </w:pPr>
            <w:r>
              <w:t>Inversiones Sostenibles y ESG: La conciencia ambiental, social y de gobierno (ESG) está impulsando un cambio en las preferencias de inversión. En De la Paz, Costemalle DFK saben que para el 2024, se espera que las inversiones sostenibles sean aún más prominentes.</w:t>
            </w:r>
          </w:p>
          <w:p>
            <w:pPr>
              <w:ind w:left="-284" w:right="-427"/>
              <w:jc w:val="both"/>
              <w:rPr>
                <w:rFonts/>
                <w:color w:val="262626" w:themeColor="text1" w:themeTint="D9"/>
              </w:rPr>
            </w:pPr>
            <w:r>
              <w:t>Los inversionistas están buscando oportunidades que respalden prácticas comerciales, éticas, la mitigación del cambio climático y la responsabilidad corporativa. Las empresas que adoptan políticas ESG sólidas pueden beneficiarse no solo en términos de reputación, sino también en términos de rendimiento financiero a largo plazo.</w:t>
            </w:r>
          </w:p>
          <w:p>
            <w:pPr>
              <w:ind w:left="-284" w:right="-427"/>
              <w:jc w:val="both"/>
              <w:rPr>
                <w:rFonts/>
                <w:color w:val="262626" w:themeColor="text1" w:themeTint="D9"/>
              </w:rPr>
            </w:pPr>
            <w:r>
              <w:t>Tokenización de activos: Implica la representación digital de activos físicos o financieros en forma de tokens en una cadena de bloques, está ganando terreno. Desde bienes raíces hasta obras de arte, la tokenización permite una mayor liquidez y acceso a una gama más amplia de inversores.</w:t>
            </w:r>
          </w:p>
          <w:p>
            <w:pPr>
              <w:ind w:left="-284" w:right="-427"/>
              <w:jc w:val="both"/>
              <w:rPr>
                <w:rFonts/>
                <w:color w:val="262626" w:themeColor="text1" w:themeTint="D9"/>
              </w:rPr>
            </w:pPr>
            <w:r>
              <w:t>Este enfoque descentralizado de la propiedad de activos podría transformar la forma en que se negocian y se invierte en bienes raíces, arte y otros activos tradicionalmente ilíquidos.</w:t>
            </w:r>
          </w:p>
          <w:p>
            <w:pPr>
              <w:ind w:left="-284" w:right="-427"/>
              <w:jc w:val="both"/>
              <w:rPr>
                <w:rFonts/>
                <w:color w:val="262626" w:themeColor="text1" w:themeTint="D9"/>
              </w:rPr>
            </w:pPr>
            <w:r>
              <w:t>El año 2024 promete ser transformador para el sector financiero. Las instituciones financieras y los inversores que adopten proactivamente estas tendencias estarán mejor posicionados para navegar por un paisaje financiero en constante evolución y capitalizar las oportunidades emergentes. Es importante hacerlo de la mano de los expertos, como De la Paz, Costemalle DFK, para reducir riesgos y tener un plan de acción de emergencia. La adaptabilidad y la innovación serán las claves del éxito en este entorno dinámico.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De la Paz, Costemalle DFK</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https://www.mexicopress.com.mx/tendencias-financieras-para-el-2024-por-de-la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Recursos humanos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