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Utilidad de CADU crece 18.4% en segundo trimestre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Logra un atractivo crecimiento de acuerdo con su Guía de Resultados planteada para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Corpovael S.A.B. DE C.V., “CADU” dio a conocer sus resultados del 2T 2018, destacando Ingresos Totales por mil 357 millones de pesos; Utilidad Neta por 235 millones de pesos y Utilidad antes de Intereses, Impuestos, Depreciaciones y Amortizaciones (UAFIDA) por un monto de 329 millones de pesos, lo que representa un crecimiento del 12.5%, 18.4% y 10.1% respectivamente en comparación con el 2T 2017.</w:t>
            </w:r>
          </w:p>
          <w:p>
            <w:pPr>
              <w:ind w:left="-284" w:right="-427"/>
              <w:jc w:val="both"/>
              <w:rPr>
                <w:rFonts/>
                <w:color w:val="262626" w:themeColor="text1" w:themeTint="D9"/>
              </w:rPr>
            </w:pPr>
            <w:r>
              <w:t>Asimismo, la inmobiliaria generó en el periodo un flujo libre de efectivo positivo por 33 millones de pesos, acumulando 109 millones de pesos en los primeros seis meses del año, en comparación con los 63 millones de pesos generados en el primer semestre de 2017.</w:t>
            </w:r>
          </w:p>
          <w:p>
            <w:pPr>
              <w:ind w:left="-284" w:right="-427"/>
              <w:jc w:val="both"/>
              <w:rPr>
                <w:rFonts/>
                <w:color w:val="262626" w:themeColor="text1" w:themeTint="D9"/>
              </w:rPr>
            </w:pPr>
            <w:r>
              <w:t>Pedro Vaca Elguero, Presidente del Consejo y Director General de CADU subrayó que la empresa ha mantenido su liquidez, ya que al cierre del 2T se contaba con niveles de efectivo y equivalentes de efectivo de 783 millones de pesos, habiéndose pagado en mayo dividendos por 128 millones de pesos.</w:t>
            </w:r>
          </w:p>
          <w:p>
            <w:pPr>
              <w:ind w:left="-284" w:right="-427"/>
              <w:jc w:val="both"/>
              <w:rPr>
                <w:rFonts/>
                <w:color w:val="262626" w:themeColor="text1" w:themeTint="D9"/>
              </w:rPr>
            </w:pPr>
            <w:r>
              <w:t>“Con los resultados obtenidos estamos en línea con la Guía de Resultados anunciada para este año y esperamos cumplir con los objetivos que nos fijamos para cerrar 2018 con buenas noticias”, agregó Vaca Elguero.</w:t>
            </w:r>
          </w:p>
          <w:p>
            <w:pPr>
              <w:ind w:left="-284" w:right="-427"/>
              <w:jc w:val="both"/>
              <w:rPr>
                <w:rFonts/>
                <w:color w:val="262626" w:themeColor="text1" w:themeTint="D9"/>
              </w:rPr>
            </w:pPr>
            <w:r>
              <w:t>Sobre CADUCorpovael, S.A.B. de C.V. “CADU” (BMV: CADUA) es un grupo empresarial líder dedicado al desarrollo de vivienda de interés social, media y media-residencial en México. CADU cuenta con una exitosa trayectoria de más de una década en el sector vivienda, donde ha fundamentado un exitoso modelo de negocios a través de la búsqueda de una alta y sostenida rentabilidad; apuntalando su ventaja competitiva en una operación verticalmente integrada (desarrollando actividades de adquisición de terrenos, urbanización, edificación y comercialización), en plazas donde ha identificado una alta y desatendida demanda potencial de vivienda. Opera, principalmente, en Quintana Roo, Valle de México y Jalisco.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https://www.mexicopress.com.mx/utilidad-de-cadu-crece-18-4-en-segundo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Recursos humanos Ciudad de México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